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w:t>
      </w:r>
      <w:r>
        <w:rPr>
          <w:rFonts w:ascii="Arial" w:hAnsi="Arial" w:cs="Arial"/>
          <w:b/>
          <w:bCs/>
          <w:snapToGrid w:val="0"/>
          <w:kern w:val="0"/>
          <w:sz w:val="24"/>
        </w:rPr>
        <w:t>9e</w:t>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R2-</w:t>
      </w:r>
      <w:r>
        <w:rPr>
          <w:rFonts w:ascii="Arial" w:hAnsi="Arial" w:cs="Arial"/>
          <w:b/>
          <w:bCs/>
          <w:snapToGrid w:val="0"/>
          <w:kern w:val="0"/>
          <w:sz w:val="24"/>
        </w:rPr>
        <w:t>2001261</w:t>
      </w:r>
    </w:p>
    <w:p>
      <w:pPr>
        <w:overflowPunct w:val="0"/>
        <w:autoSpaceDE w:val="0"/>
        <w:autoSpaceDN w:val="0"/>
        <w:adjustRightInd w:val="0"/>
        <w:snapToGrid w:val="0"/>
        <w:jc w:val="left"/>
        <w:textAlignment w:val="baseline"/>
        <w:rPr>
          <w:rFonts w:ascii="Arial" w:hAnsi="Arial" w:cs="Arial"/>
          <w:b/>
          <w:bCs/>
          <w:kern w:val="0"/>
          <w:sz w:val="24"/>
        </w:rPr>
      </w:pPr>
      <w:r>
        <w:rPr>
          <w:rFonts w:ascii="Arial" w:hAnsi="Arial" w:eastAsia="宋体" w:cs="Arial"/>
          <w:b/>
          <w:bCs/>
          <w:kern w:val="0"/>
          <w:sz w:val="24"/>
        </w:rPr>
        <w:t>Online</w:t>
      </w:r>
      <w:r>
        <w:rPr>
          <w:rFonts w:hint="eastAsia" w:ascii="Arial" w:hAnsi="Arial" w:cs="Arial"/>
          <w:b/>
          <w:bCs/>
          <w:kern w:val="0"/>
          <w:sz w:val="24"/>
        </w:rPr>
        <w:t>,</w:t>
      </w:r>
      <w:r>
        <w:rPr>
          <w:rFonts w:hint="eastAsia" w:ascii="Arial" w:hAnsi="Arial" w:eastAsia="宋体" w:cs="Arial"/>
          <w:b/>
          <w:bCs/>
          <w:kern w:val="0"/>
          <w:sz w:val="24"/>
        </w:rPr>
        <w:t xml:space="preserve"> 2</w:t>
      </w:r>
      <w:r>
        <w:rPr>
          <w:rFonts w:ascii="Arial" w:hAnsi="Arial" w:eastAsia="宋体" w:cs="Arial"/>
          <w:b/>
          <w:bCs/>
          <w:kern w:val="0"/>
          <w:sz w:val="24"/>
        </w:rPr>
        <w:t>4</w:t>
      </w:r>
      <w:r>
        <w:rPr>
          <w:rFonts w:hint="eastAsia" w:ascii="Arial" w:hAnsi="Arial" w:cs="Arial"/>
          <w:b/>
          <w:bCs/>
          <w:kern w:val="0"/>
          <w:sz w:val="24"/>
        </w:rPr>
        <w:t xml:space="preserve">th </w:t>
      </w:r>
      <w:r>
        <w:rPr>
          <w:rFonts w:ascii="Arial" w:hAnsi="Arial" w:cs="Arial"/>
          <w:b/>
          <w:bCs/>
          <w:kern w:val="0"/>
          <w:sz w:val="24"/>
        </w:rPr>
        <w:t>Feb - 6th Mar</w:t>
      </w:r>
      <w:r>
        <w:rPr>
          <w:rFonts w:hint="eastAsia" w:ascii="Arial" w:hAnsi="Arial" w:cs="Arial"/>
          <w:b/>
          <w:bCs/>
          <w:kern w:val="0"/>
          <w:sz w:val="24"/>
        </w:rPr>
        <w:t xml:space="preserve"> 20</w:t>
      </w:r>
      <w:r>
        <w:rPr>
          <w:rFonts w:ascii="Arial" w:hAnsi="Arial" w:cs="Arial"/>
          <w:b/>
          <w:bCs/>
          <w:kern w:val="0"/>
          <w:sz w:val="24"/>
        </w:rPr>
        <w:t>20</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Remaining issues on UE capability coordination</w:t>
      </w:r>
      <w:r>
        <w:rPr>
          <w:rFonts w:hint="eastAsia" w:ascii="Arial" w:hAnsi="Arial" w:cs="Arial"/>
          <w:b/>
          <w:bCs/>
          <w:snapToGrid w:val="0"/>
          <w:kern w:val="0"/>
          <w:sz w:val="24"/>
        </w:rPr>
        <w:t xml:space="preserve"> for DAPS HO</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7.3.2.2.2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 xml:space="preserve">At RAN2#107bis, it </w:t>
      </w:r>
      <w:r>
        <w:t>wa</w:t>
      </w:r>
      <w:r>
        <w:rPr>
          <w:rFonts w:hint="eastAsia"/>
        </w:rPr>
        <w:t>s agreed that [1]:</w:t>
      </w:r>
    </w:p>
    <w:p>
      <w:pPr>
        <w:pStyle w:val="82"/>
        <w:pBdr>
          <w:top w:val="single" w:color="auto" w:sz="4" w:space="1"/>
          <w:left w:val="single" w:color="auto" w:sz="4" w:space="4"/>
          <w:bottom w:val="single" w:color="auto" w:sz="4" w:space="1"/>
          <w:right w:val="single" w:color="auto" w:sz="4" w:space="4"/>
        </w:pBdr>
        <w:ind w:left="422" w:hanging="422"/>
        <w:rPr>
          <w:b/>
        </w:rPr>
      </w:pPr>
      <w:r>
        <w:rPr>
          <w:b/>
        </w:rPr>
        <w:t>Agreements for both NR and LTE</w:t>
      </w:r>
    </w:p>
    <w:p>
      <w:pPr>
        <w:pStyle w:val="82"/>
        <w:pBdr>
          <w:top w:val="single" w:color="auto" w:sz="4" w:space="1"/>
          <w:left w:val="single" w:color="auto" w:sz="4" w:space="4"/>
          <w:bottom w:val="single" w:color="auto" w:sz="4" w:space="1"/>
          <w:right w:val="single" w:color="auto" w:sz="4" w:space="4"/>
        </w:pBdr>
        <w:ind w:left="420" w:hanging="420"/>
      </w:pPr>
      <w:r>
        <w:t>1</w:t>
      </w:r>
      <w:r>
        <w:tab/>
      </w:r>
      <w:r>
        <w:t>If capability coordination is used, source and target cell configurations ensure UE capabilities are not exceeded (like now).</w:t>
      </w:r>
    </w:p>
    <w:p>
      <w:pPr>
        <w:pStyle w:val="82"/>
        <w:pBdr>
          <w:top w:val="single" w:color="auto" w:sz="4" w:space="1"/>
          <w:left w:val="single" w:color="auto" w:sz="4" w:space="4"/>
          <w:bottom w:val="single" w:color="auto" w:sz="4" w:space="1"/>
          <w:right w:val="single" w:color="auto" w:sz="4" w:space="4"/>
        </w:pBdr>
        <w:ind w:left="420" w:hanging="420"/>
      </w:pPr>
      <w:r>
        <w:t>2</w:t>
      </w:r>
      <w:r>
        <w:tab/>
      </w:r>
      <w:r>
        <w:t xml:space="preserve">If UE capabilities are exceeded, UE behaviour is unspecified. </w:t>
      </w:r>
    </w:p>
    <w:p>
      <w:pPr>
        <w:pStyle w:val="82"/>
        <w:pBdr>
          <w:top w:val="single" w:color="auto" w:sz="4" w:space="1"/>
          <w:left w:val="single" w:color="auto" w:sz="4" w:space="4"/>
          <w:bottom w:val="single" w:color="auto" w:sz="4" w:space="1"/>
          <w:right w:val="single" w:color="auto" w:sz="4" w:space="4"/>
        </w:pBdr>
        <w:ind w:left="420" w:hanging="420"/>
      </w:pPr>
      <w:r>
        <w:t>3</w:t>
      </w:r>
      <w:r>
        <w:tab/>
      </w:r>
      <w:r>
        <w:t>FFS if we specify behaviour for specific capabilities (e.g. UL tx power) or fallback to legacy handover (given that UE doesn’t know whether network uses capability coordination). Will diucss these based on company contributions.</w:t>
      </w:r>
    </w:p>
    <w:p>
      <w:pPr>
        <w:pStyle w:val="82"/>
        <w:pBdr>
          <w:top w:val="single" w:color="auto" w:sz="4" w:space="1"/>
          <w:left w:val="single" w:color="auto" w:sz="4" w:space="4"/>
          <w:bottom w:val="single" w:color="auto" w:sz="4" w:space="1"/>
          <w:right w:val="single" w:color="auto" w:sz="4" w:space="4"/>
        </w:pBdr>
        <w:ind w:left="420" w:hanging="420"/>
      </w:pPr>
      <w:r>
        <w:t>4</w:t>
      </w:r>
      <w:r>
        <w:tab/>
      </w:r>
      <w:r>
        <w:t>DAPS HO supports having RRC message(s) containing configuration from source cell and target cell. FFS whether this is done with 1 or 2 RRC messages.</w:t>
      </w:r>
    </w:p>
    <w:p>
      <w:pPr>
        <w:spacing w:before="156" w:beforeLines="50" w:line="260" w:lineRule="auto"/>
      </w:pPr>
      <w:r>
        <w:rPr>
          <w:rFonts w:hint="eastAsia"/>
        </w:rPr>
        <w:t>Besides, we discussed signaling structure to support DAPS capability in email discussion 108#45. In this contribution, we share some views for remaining issues</w:t>
      </w:r>
      <w:r>
        <w:t xml:space="preserve"> </w:t>
      </w:r>
      <w:r>
        <w:rPr>
          <w:rFonts w:hint="eastAsia"/>
        </w:rPr>
        <w:t>on</w:t>
      </w:r>
      <w:r>
        <w:t xml:space="preserve"> UE capability coordination</w:t>
      </w:r>
      <w:r>
        <w:rPr>
          <w:rFonts w:hint="eastAsia"/>
        </w:rPr>
        <w: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p>
      <w:pPr>
        <w:rPr>
          <w:b/>
          <w:bCs/>
          <w:u w:val="single"/>
        </w:rPr>
      </w:pPr>
      <w:r>
        <w:rPr>
          <w:rFonts w:hint="eastAsia"/>
          <w:b/>
          <w:bCs/>
          <w:u w:val="single"/>
        </w:rPr>
        <w:t>Issue 1: W</w:t>
      </w:r>
      <w:r>
        <w:rPr>
          <w:b/>
          <w:bCs/>
          <w:u w:val="single"/>
        </w:rPr>
        <w:t>hich capability coordination mechanism to adopt</w:t>
      </w:r>
    </w:p>
    <w:p>
      <w:r>
        <w:t>In the definition of capability coordination for DAPS HO, the first issue is to decide which capability coordination mechanism to adopt, e.g. which node decides, whether renegotiation of capabilities is possible, etc.</w:t>
      </w:r>
    </w:p>
    <w:p>
      <w:r>
        <w:t>First of all, in order to reduce complexity and c</w:t>
      </w:r>
      <w:r>
        <w:rPr>
          <w:rFonts w:hint="eastAsia"/>
        </w:rPr>
        <w:t xml:space="preserve">onsidering </w:t>
      </w:r>
      <w:r>
        <w:t>that simultaneous connectivity due to DAP</w:t>
      </w:r>
      <w:r>
        <w:rPr>
          <w:rFonts w:hint="eastAsia"/>
        </w:rPr>
        <w:t xml:space="preserve">S HO </w:t>
      </w:r>
      <w:r>
        <w:t>is a transient phase</w:t>
      </w:r>
      <w:r>
        <w:rPr>
          <w:rFonts w:hint="eastAsia"/>
        </w:rPr>
        <w:t xml:space="preserve">, we think </w:t>
      </w:r>
      <w:r>
        <w:t xml:space="preserve">that in any case </w:t>
      </w:r>
      <w:r>
        <w:rPr>
          <w:rFonts w:hint="eastAsia"/>
        </w:rPr>
        <w:t xml:space="preserve">there is no need to support any </w:t>
      </w:r>
      <w:r>
        <w:t xml:space="preserve">UE </w:t>
      </w:r>
      <w:r>
        <w:rPr>
          <w:rFonts w:hint="eastAsia"/>
        </w:rPr>
        <w:t>capability renegotiation between the target node and the source node (only one node decide</w:t>
      </w:r>
      <w:r>
        <w:t>s</w:t>
      </w:r>
      <w:r>
        <w:rPr>
          <w:rFonts w:hint="eastAsia"/>
        </w:rPr>
        <w:t>)</w:t>
      </w:r>
      <w:r>
        <w:t>.</w:t>
      </w:r>
    </w:p>
    <w:p>
      <w:pPr>
        <w:rPr>
          <w:b/>
          <w:bCs/>
        </w:rPr>
      </w:pPr>
      <w:r>
        <w:rPr>
          <w:rFonts w:hint="eastAsia"/>
          <w:b/>
          <w:bCs/>
        </w:rPr>
        <w:t xml:space="preserve">Proposal 1: </w:t>
      </w:r>
      <w:r>
        <w:rPr>
          <w:b/>
          <w:bCs/>
        </w:rPr>
        <w:t>UE</w:t>
      </w:r>
      <w:r>
        <w:rPr>
          <w:rFonts w:hint="eastAsia"/>
          <w:b/>
          <w:bCs/>
        </w:rPr>
        <w:t xml:space="preserve"> capability renegotiation procedure is not supported in DAPS HO (i.e. only one node decides)</w:t>
      </w:r>
      <w:r>
        <w:rPr>
          <w:b/>
          <w:bCs/>
        </w:rPr>
        <w:t>.</w:t>
      </w:r>
    </w:p>
    <w:p>
      <w:r>
        <w:t>Then, to limit the specification impact and to reduce the need for possible source cell reconfigurations, we think that UE capability coordination for DAPS HO could simply be achieved reusing existing mechanisms:</w:t>
      </w:r>
    </w:p>
    <w:p>
      <w:pPr>
        <w:pStyle w:val="283"/>
        <w:numPr>
          <w:ilvl w:val="0"/>
          <w:numId w:val="4"/>
        </w:numPr>
      </w:pPr>
      <w:r>
        <w:rPr>
          <w:rFonts w:hint="eastAsia"/>
        </w:rPr>
        <w:t>T</w:t>
      </w:r>
      <w:r>
        <w:t xml:space="preserve">he source cell provides the source cell configuration to </w:t>
      </w:r>
      <w:r>
        <w:rPr>
          <w:rFonts w:hint="eastAsia"/>
        </w:rPr>
        <w:t xml:space="preserve">be used during DAPS HO, UE capabilities, and the restriction information for the target cell configuration (e.g. </w:t>
      </w:r>
      <w:r>
        <w:rPr>
          <w:rFonts w:hint="eastAsia"/>
          <w:i/>
          <w:iCs/>
        </w:rPr>
        <w:t>maxSCH-TB-BitsDL</w:t>
      </w:r>
      <w:r>
        <w:rPr>
          <w:rFonts w:hint="eastAsia"/>
        </w:rPr>
        <w:t xml:space="preserve">, </w:t>
      </w:r>
      <w:r>
        <w:rPr>
          <w:rFonts w:hint="eastAsia"/>
          <w:i/>
          <w:iCs/>
        </w:rPr>
        <w:t>maxSCH-TB-BitsUL</w:t>
      </w:r>
      <w:r>
        <w:rPr>
          <w:rFonts w:hint="eastAsia"/>
        </w:rPr>
        <w:t xml:space="preserve">, </w:t>
      </w:r>
      <w:r>
        <w:rPr>
          <w:rFonts w:hint="eastAsia"/>
          <w:i/>
          <w:iCs/>
        </w:rPr>
        <w:t>powerCoordinationInfo</w:t>
      </w:r>
      <w:r>
        <w:rPr>
          <w:rFonts w:hint="eastAsia"/>
        </w:rPr>
        <w:t xml:space="preserve">) to </w:t>
      </w:r>
      <w:r>
        <w:t>the target during the handover preparation phase</w:t>
      </w:r>
      <w:r>
        <w:rPr>
          <w:rFonts w:hint="eastAsia"/>
        </w:rPr>
        <w:t>.</w:t>
      </w:r>
    </w:p>
    <w:p>
      <w:pPr>
        <w:pStyle w:val="283"/>
        <w:widowControl/>
        <w:numPr>
          <w:ilvl w:val="0"/>
          <w:numId w:val="4"/>
        </w:numPr>
        <w:shd w:val="clear" w:color="auto" w:fill="FFFFFF"/>
        <w:spacing w:line="300" w:lineRule="atLeast"/>
      </w:pPr>
      <w:r>
        <w:rPr>
          <w:rFonts w:hint="eastAsia"/>
        </w:rPr>
        <w:t>B</w:t>
      </w:r>
      <w:r>
        <w:t>ased on the knowledge of the overall UE capabilities</w:t>
      </w:r>
      <w:r>
        <w:rPr>
          <w:rFonts w:hint="eastAsia"/>
        </w:rPr>
        <w:t xml:space="preserve">, </w:t>
      </w:r>
      <w:r>
        <w:t>the amount of UE capabilities required to support the source cell configuration</w:t>
      </w:r>
      <w:r>
        <w:rPr>
          <w:rFonts w:hint="eastAsia"/>
        </w:rPr>
        <w:t xml:space="preserve"> (</w:t>
      </w:r>
      <w:r>
        <w:t xml:space="preserve">as provided by the source cell), </w:t>
      </w:r>
      <w:r>
        <w:rPr>
          <w:rFonts w:hint="eastAsia"/>
        </w:rPr>
        <w:t xml:space="preserve">and the the restriction information for the target cell configuration, </w:t>
      </w:r>
      <w:r>
        <w:t>the target cell decides a target cell configuration that fits with the remaining UE capabilities</w:t>
      </w:r>
      <w:r>
        <w:rPr>
          <w:rFonts w:hint="eastAsia"/>
        </w:rPr>
        <w:t>.</w:t>
      </w:r>
    </w:p>
    <w:p>
      <w:pPr>
        <w:widowControl/>
        <w:shd w:val="clear" w:color="auto" w:fill="FFFFFF"/>
        <w:spacing w:line="300" w:lineRule="atLeast"/>
        <w:rPr>
          <w:b/>
        </w:rPr>
      </w:pPr>
      <w:r>
        <w:rPr>
          <w:rFonts w:hint="eastAsia"/>
          <w:b/>
          <w:bCs/>
        </w:rPr>
        <w:t xml:space="preserve">Proposal 2: </w:t>
      </w:r>
      <w:r>
        <w:rPr>
          <w:b/>
        </w:rPr>
        <w:t xml:space="preserve">The source cell autonomously decides the source cell configuration to be used during DAPS HO </w:t>
      </w:r>
      <w:r>
        <w:rPr>
          <w:rFonts w:hint="eastAsia"/>
          <w:b/>
        </w:rPr>
        <w:t xml:space="preserve">and the restriction information for the target cell configuration (e.g. </w:t>
      </w:r>
      <w:r>
        <w:rPr>
          <w:rFonts w:hint="eastAsia"/>
          <w:b/>
          <w:i/>
          <w:iCs/>
        </w:rPr>
        <w:t>maxSCH-TB-BitsDL</w:t>
      </w:r>
      <w:r>
        <w:rPr>
          <w:rFonts w:hint="eastAsia"/>
          <w:b/>
        </w:rPr>
        <w:t xml:space="preserve">, </w:t>
      </w:r>
      <w:r>
        <w:rPr>
          <w:rFonts w:hint="eastAsia"/>
          <w:b/>
          <w:i/>
          <w:iCs/>
        </w:rPr>
        <w:t>maxSCH-TB-BitsUL</w:t>
      </w:r>
      <w:r>
        <w:rPr>
          <w:rFonts w:hint="eastAsia"/>
          <w:b/>
        </w:rPr>
        <w:t xml:space="preserve">, </w:t>
      </w:r>
      <w:r>
        <w:rPr>
          <w:rFonts w:hint="eastAsia"/>
          <w:b/>
          <w:i/>
          <w:iCs/>
        </w:rPr>
        <w:t>powerCoordinationInfo</w:t>
      </w:r>
      <w:r>
        <w:rPr>
          <w:rFonts w:hint="eastAsia"/>
          <w:b/>
        </w:rPr>
        <w:t xml:space="preserve">), </w:t>
      </w:r>
      <w:r>
        <w:rPr>
          <w:b/>
        </w:rPr>
        <w:t xml:space="preserve">and provides </w:t>
      </w:r>
      <w:r>
        <w:rPr>
          <w:rFonts w:hint="eastAsia"/>
          <w:b/>
        </w:rPr>
        <w:t>them</w:t>
      </w:r>
      <w:r>
        <w:rPr>
          <w:b/>
        </w:rPr>
        <w:t xml:space="preserve"> to the target cell during the handover preparation phase.</w:t>
      </w:r>
    </w:p>
    <w:p>
      <w:pPr>
        <w:widowControl/>
        <w:shd w:val="clear" w:color="auto" w:fill="FFFFFF"/>
        <w:spacing w:line="300" w:lineRule="atLeast"/>
        <w:rPr>
          <w:b/>
        </w:rPr>
      </w:pPr>
      <w:r>
        <w:rPr>
          <w:rFonts w:hint="eastAsia"/>
          <w:b/>
          <w:bCs/>
        </w:rPr>
        <w:t xml:space="preserve">Proposal 3: </w:t>
      </w:r>
      <w:r>
        <w:rPr>
          <w:b/>
          <w:bCs/>
        </w:rPr>
        <w:t>The</w:t>
      </w:r>
      <w:r>
        <w:rPr>
          <w:b/>
        </w:rPr>
        <w:t xml:space="preserve"> target cell decides a target cell configuration that fits with the "remaining" UE capabilities, derived from the overall UE capabilities</w:t>
      </w:r>
      <w:r>
        <w:rPr>
          <w:rFonts w:hint="eastAsia"/>
          <w:b/>
        </w:rPr>
        <w:t xml:space="preserve">, </w:t>
      </w:r>
      <w:r>
        <w:rPr>
          <w:b/>
        </w:rPr>
        <w:t>the amount of UE capabilities required to support the source cell configuration (as provided by the source cell)</w:t>
      </w:r>
      <w:r>
        <w:rPr>
          <w:rFonts w:hint="eastAsia"/>
          <w:b/>
        </w:rPr>
        <w:t xml:space="preserve"> and the restriction information for the target cell configuration</w:t>
      </w:r>
      <w:r>
        <w:rPr>
          <w:b/>
        </w:rPr>
        <w:t xml:space="preserve">. </w:t>
      </w:r>
    </w:p>
    <w:p>
      <w:pPr>
        <w:widowControl/>
        <w:shd w:val="clear" w:color="auto" w:fill="FFFFFF"/>
        <w:spacing w:line="300" w:lineRule="atLeast"/>
        <w:rPr>
          <w:b/>
        </w:rPr>
      </w:pPr>
    </w:p>
    <w:p>
      <w:pPr>
        <w:rPr>
          <w:rFonts w:eastAsia="DengXian"/>
          <w:b/>
          <w:bCs/>
          <w:u w:val="single"/>
        </w:rPr>
      </w:pPr>
      <w:r>
        <w:rPr>
          <w:rFonts w:hint="eastAsia" w:eastAsia="DengXian"/>
          <w:b/>
          <w:bCs/>
          <w:u w:val="single"/>
        </w:rPr>
        <w:t>Issue 2: Whether the PH value of serving cells in source side will be reported to the target node during the DAPS, and vice vers</w:t>
      </w:r>
      <w:r>
        <w:rPr>
          <w:rFonts w:eastAsia="DengXian"/>
          <w:b/>
          <w:bCs/>
          <w:u w:val="single"/>
        </w:rPr>
        <w:t>a</w:t>
      </w:r>
      <w:r>
        <w:rPr>
          <w:rFonts w:hint="eastAsia" w:eastAsia="DengXian"/>
          <w:b/>
          <w:bCs/>
          <w:u w:val="single"/>
        </w:rPr>
        <w:t>?</w:t>
      </w:r>
    </w:p>
    <w:p>
      <w:pPr>
        <w:rPr>
          <w:rFonts w:eastAsia="DengXian"/>
        </w:rPr>
      </w:pPr>
      <w:r>
        <w:rPr>
          <w:rFonts w:hint="eastAsia" w:eastAsia="DengXian"/>
        </w:rPr>
        <w:t xml:space="preserve">For power coordination, in EN-DC/MR-DC, </w:t>
      </w:r>
      <w:r>
        <w:rPr>
          <w:rFonts w:eastAsia="DengXian"/>
        </w:rPr>
        <w:t>a</w:t>
      </w:r>
      <w:r>
        <w:rPr>
          <w:rFonts w:hint="eastAsia" w:eastAsia="DengXian"/>
        </w:rPr>
        <w:t xml:space="preserve"> UE support</w:t>
      </w:r>
      <w:r>
        <w:rPr>
          <w:rFonts w:eastAsia="DengXian"/>
        </w:rPr>
        <w:t>ing</w:t>
      </w:r>
      <w:r>
        <w:rPr>
          <w:rFonts w:hint="eastAsia" w:eastAsia="DengXian"/>
        </w:rPr>
        <w:t xml:space="preserve"> dynamic power sharing will include the PH value of serving cells located in one MAC entity in the PHR MAC CE to the other MAC entity. With this information, the NW can dynamically adjust the UL transmission power used in its own cell group.</w:t>
      </w:r>
    </w:p>
    <w:p>
      <w:pPr>
        <w:rPr>
          <w:rFonts w:eastAsia="DengXian"/>
        </w:rPr>
      </w:pPr>
      <w:r>
        <w:rPr>
          <w:rFonts w:hint="eastAsia" w:eastAsia="DengXian"/>
        </w:rPr>
        <w:t>Similar as EN-DC/MR-DC, during the DAPS, there will be two MAC entities as well, one for the cell group in the source side and the other for the cell group in the target side. Since power coordination is needed between the source side and target side as well, one issue needs to be clarified is whether the UE needs to report the PH value of SpCell of one MAC entity to the other MAC entity during DAPS HO. And the following two alternatives can be considered:</w:t>
      </w:r>
    </w:p>
    <w:p>
      <w:pPr>
        <w:numPr>
          <w:ilvl w:val="0"/>
          <w:numId w:val="5"/>
        </w:numPr>
        <w:rPr>
          <w:rFonts w:eastAsia="DengXian"/>
        </w:rPr>
      </w:pPr>
      <w:r>
        <w:rPr>
          <w:rFonts w:hint="eastAsia" w:eastAsia="DengXian"/>
        </w:rPr>
        <w:t>Alt. 1: During DAPS operation, similar as DC operation, each MAC entity (i.e. MAC entity for source cell group and MAC entity for target cell group) will include the PH value of the serving cells for both source cell group and target cell group in the corresponding PHR report MAC CE.</w:t>
      </w:r>
    </w:p>
    <w:p>
      <w:pPr>
        <w:numPr>
          <w:ilvl w:val="0"/>
          <w:numId w:val="5"/>
        </w:numPr>
        <w:rPr>
          <w:rFonts w:eastAsia="DengXian"/>
        </w:rPr>
      </w:pPr>
      <w:r>
        <w:rPr>
          <w:rFonts w:hint="eastAsia" w:eastAsia="DengXian"/>
        </w:rPr>
        <w:t>Alt. 2: During DAPS operation, each MAC entity will only include the PH value of the serving cells within its own cell group in the corresponding PHR report MAC CE.</w:t>
      </w:r>
    </w:p>
    <w:p>
      <w:pPr>
        <w:rPr>
          <w:rFonts w:eastAsia="DengXian"/>
        </w:rPr>
      </w:pPr>
      <w:r>
        <w:rPr>
          <w:rFonts w:hint="eastAsia" w:eastAsia="DengXian"/>
        </w:rPr>
        <w:t xml:space="preserve">For the alternative 1, considering different PHR format will be used for the PHR reporting with/without PH values for serving cells from the other MAC entity, the PHR format change may be required during DAPS </w:t>
      </w:r>
      <w:r>
        <w:rPr>
          <w:rFonts w:eastAsia="DengXian"/>
        </w:rPr>
        <w:t xml:space="preserve">HO </w:t>
      </w:r>
      <w:r>
        <w:rPr>
          <w:rFonts w:hint="eastAsia" w:eastAsia="DengXian"/>
        </w:rPr>
        <w:t xml:space="preserve">(i.e. different PHR format may be used before, during and after DAPS HO). In addition, the order/location of PH value of each serving cell in the PHR format is determined by the serving cell ID, if activated SCell is allowed in DAPS HO, then some coordination is needed to ensure the uniqueness of serving cell ID across the source side and the target side. </w:t>
      </w:r>
    </w:p>
    <w:p>
      <w:pPr>
        <w:rPr>
          <w:rFonts w:eastAsia="DengXian"/>
        </w:rPr>
      </w:pPr>
      <w:r>
        <w:rPr>
          <w:rFonts w:hint="eastAsia" w:eastAsia="DengXian"/>
        </w:rPr>
        <w:t xml:space="preserve">Considering this is </w:t>
      </w:r>
      <w:r>
        <w:rPr>
          <w:rFonts w:eastAsia="DengXian"/>
        </w:rPr>
        <w:t xml:space="preserve">supposed to be </w:t>
      </w:r>
      <w:r>
        <w:rPr>
          <w:rFonts w:hint="eastAsia" w:eastAsia="DengXian"/>
        </w:rPr>
        <w:t>the last meeting for stage 3 discussion of DAPS HO, to avoid extra complexity and open issues led by alternative 1, we propose to adopt alternative 2 for DAPS HO. Thus, there is no need to perform PH information (e.g. PH type) coordination during the handover preparation phase.</w:t>
      </w:r>
    </w:p>
    <w:p>
      <w:pPr>
        <w:rPr>
          <w:rFonts w:eastAsia="DengXian"/>
          <w:b/>
          <w:bCs/>
        </w:rPr>
      </w:pPr>
      <w:r>
        <w:rPr>
          <w:rFonts w:hint="eastAsia" w:eastAsia="DengXian"/>
          <w:b/>
          <w:bCs/>
        </w:rPr>
        <w:t>Proposal 4: During DAPS operation, the PH value of serving cell(s) in source side will not be reported to the target node, and vice vers</w:t>
      </w:r>
      <w:r>
        <w:rPr>
          <w:rFonts w:eastAsia="DengXian"/>
          <w:b/>
          <w:bCs/>
        </w:rPr>
        <w:t>a</w:t>
      </w:r>
      <w:r>
        <w:rPr>
          <w:rFonts w:hint="eastAsia" w:eastAsia="DengXian"/>
          <w:b/>
          <w:bCs/>
        </w:rPr>
        <w:t>. The UE will determine the PHR format used in target side based on the same rules as Rel-15 (i.e. no further optimization will be considered for PHR reporting in DAPS HO).</w:t>
      </w:r>
    </w:p>
    <w:p>
      <w:pPr>
        <w:rPr>
          <w:rFonts w:eastAsia="DengXian"/>
          <w:b/>
          <w:bCs/>
        </w:rPr>
      </w:pPr>
    </w:p>
    <w:p>
      <w:pPr>
        <w:widowControl/>
        <w:shd w:val="clear" w:color="auto" w:fill="FFFFFF"/>
        <w:spacing w:line="300" w:lineRule="atLeast"/>
        <w:rPr>
          <w:b/>
          <w:u w:val="single"/>
        </w:rPr>
      </w:pPr>
      <w:r>
        <w:rPr>
          <w:rFonts w:hint="eastAsia"/>
          <w:b/>
          <w:u w:val="single"/>
        </w:rPr>
        <w:t>Issue 3: How to handle SCell(s) during DAPS HO</w:t>
      </w:r>
    </w:p>
    <w:p>
      <w:r>
        <w:rPr>
          <w:rFonts w:hint="eastAsia"/>
        </w:rPr>
        <w:t>Besides, i</w:t>
      </w:r>
      <w:r>
        <w:t>n order to allow sufficient UE capabilities to be used in the target cell during DAPS HO</w:t>
      </w:r>
      <w:r>
        <w:rPr>
          <w:rFonts w:hint="eastAsia"/>
        </w:rPr>
        <w:t xml:space="preserve">, a critical issue about how to handle SCell(s) during DAPS HO should be considered. Given that RAN4 mentioned that </w:t>
      </w:r>
      <w:r>
        <w:t>“RAN4 has only considered DAPS HO with PCell in source cell and PCell in target cell”</w:t>
      </w:r>
      <w:r>
        <w:rPr>
          <w:rFonts w:hint="eastAsia"/>
        </w:rPr>
        <w:t xml:space="preserve"> in the LS [2], we think the network just needs to keep source PCell and target PCell in activated state during DAPS HO. But for SCell(s), the network should explicitly release it or keep it in deactivated state during DAPS HO. For example, the source SCell(s) can be explicitly released via the downgraded source configuration to be used during DAPS HO. The target node is allowed to configure SCell(s), but it should be in deactivated state, as legacy HO. After successful completion of RACH to the target cell, the target SCell(s) can be activated by MAC CE or RRC reconfiguration message. </w:t>
      </w:r>
    </w:p>
    <w:p>
      <w:r>
        <w:rPr>
          <w:rFonts w:hint="eastAsia"/>
          <w:b/>
          <w:bCs/>
        </w:rPr>
        <w:t>Proposal 5: The SCell(s) should be explicitly released or kept in deactivated state during DAPS HO.</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share some views on the UE capability coordination for DAPS </w:t>
      </w:r>
      <w:r>
        <w:t>HO</w:t>
      </w:r>
      <w:r>
        <w:rPr>
          <w:rFonts w:hint="eastAsia"/>
        </w:rPr>
        <w:t xml:space="preserve"> with the following proposals:</w:t>
      </w:r>
    </w:p>
    <w:p>
      <w:pPr>
        <w:rPr>
          <w:b/>
          <w:bCs/>
        </w:rPr>
      </w:pPr>
      <w:r>
        <w:rPr>
          <w:rFonts w:hint="eastAsia"/>
          <w:b/>
          <w:bCs/>
        </w:rPr>
        <w:t xml:space="preserve">Proposal 1: </w:t>
      </w:r>
      <w:r>
        <w:rPr>
          <w:b/>
          <w:bCs/>
        </w:rPr>
        <w:t>UE</w:t>
      </w:r>
      <w:r>
        <w:rPr>
          <w:rFonts w:hint="eastAsia"/>
          <w:b/>
          <w:bCs/>
        </w:rPr>
        <w:t xml:space="preserve"> capability renegotiation procedure is not supported in DAPS HO (i.e. only one node decides)</w:t>
      </w:r>
      <w:r>
        <w:rPr>
          <w:b/>
          <w:bCs/>
        </w:rPr>
        <w:t>.</w:t>
      </w:r>
    </w:p>
    <w:p>
      <w:pPr>
        <w:widowControl/>
        <w:shd w:val="clear" w:color="auto" w:fill="FFFFFF"/>
        <w:spacing w:line="300" w:lineRule="atLeast"/>
        <w:rPr>
          <w:b/>
        </w:rPr>
      </w:pPr>
      <w:r>
        <w:rPr>
          <w:rFonts w:hint="eastAsia"/>
          <w:b/>
          <w:bCs/>
        </w:rPr>
        <w:t xml:space="preserve">Proposal 2: </w:t>
      </w:r>
      <w:r>
        <w:rPr>
          <w:b/>
        </w:rPr>
        <w:t xml:space="preserve">The source cell autonomously decides the source cell configuration to be used during DAPS HO </w:t>
      </w:r>
      <w:r>
        <w:rPr>
          <w:rFonts w:hint="eastAsia"/>
          <w:b/>
        </w:rPr>
        <w:t xml:space="preserve">and the restriction information for the target cell configuration (e.g. </w:t>
      </w:r>
      <w:r>
        <w:rPr>
          <w:rFonts w:hint="eastAsia"/>
          <w:b/>
          <w:i/>
          <w:iCs/>
        </w:rPr>
        <w:t>maxSCH-TB-BitsDL</w:t>
      </w:r>
      <w:r>
        <w:rPr>
          <w:rFonts w:hint="eastAsia"/>
          <w:b/>
        </w:rPr>
        <w:t xml:space="preserve">, </w:t>
      </w:r>
      <w:r>
        <w:rPr>
          <w:rFonts w:hint="eastAsia"/>
          <w:b/>
          <w:i/>
          <w:iCs/>
        </w:rPr>
        <w:t>maxSCH-TB-BitsUL</w:t>
      </w:r>
      <w:r>
        <w:rPr>
          <w:rFonts w:hint="eastAsia"/>
          <w:b/>
        </w:rPr>
        <w:t xml:space="preserve">, </w:t>
      </w:r>
      <w:r>
        <w:rPr>
          <w:rFonts w:hint="eastAsia"/>
          <w:b/>
          <w:i/>
          <w:iCs/>
        </w:rPr>
        <w:t>powerCoordinationInfo</w:t>
      </w:r>
      <w:r>
        <w:rPr>
          <w:rFonts w:hint="eastAsia"/>
          <w:b/>
        </w:rPr>
        <w:t xml:space="preserve">), </w:t>
      </w:r>
      <w:r>
        <w:rPr>
          <w:b/>
        </w:rPr>
        <w:t xml:space="preserve">and provides </w:t>
      </w:r>
      <w:r>
        <w:rPr>
          <w:rFonts w:hint="eastAsia"/>
          <w:b/>
        </w:rPr>
        <w:t>them</w:t>
      </w:r>
      <w:r>
        <w:rPr>
          <w:b/>
        </w:rPr>
        <w:t xml:space="preserve"> to the target cell during the handover preparation phase.</w:t>
      </w:r>
    </w:p>
    <w:p>
      <w:pPr>
        <w:widowControl/>
        <w:shd w:val="clear" w:color="auto" w:fill="FFFFFF"/>
        <w:spacing w:line="300" w:lineRule="atLeast"/>
        <w:rPr>
          <w:b/>
        </w:rPr>
      </w:pPr>
      <w:r>
        <w:rPr>
          <w:rFonts w:hint="eastAsia"/>
          <w:b/>
          <w:bCs/>
        </w:rPr>
        <w:t xml:space="preserve">Proposal 3: </w:t>
      </w:r>
      <w:r>
        <w:rPr>
          <w:b/>
          <w:bCs/>
        </w:rPr>
        <w:t>The</w:t>
      </w:r>
      <w:r>
        <w:rPr>
          <w:b/>
        </w:rPr>
        <w:t xml:space="preserve"> target cell decides a target cell configuration that fits with the "remaining" UE capabilities, derived from the overall UE capabilities</w:t>
      </w:r>
      <w:r>
        <w:rPr>
          <w:rFonts w:hint="eastAsia"/>
          <w:b/>
        </w:rPr>
        <w:t xml:space="preserve">, </w:t>
      </w:r>
      <w:r>
        <w:rPr>
          <w:b/>
        </w:rPr>
        <w:t>the amount of UE capabilities required to support the source cell configuration (as provided by the source cell)</w:t>
      </w:r>
      <w:r>
        <w:rPr>
          <w:rFonts w:hint="eastAsia"/>
          <w:b/>
        </w:rPr>
        <w:t xml:space="preserve"> and the r</w:t>
      </w:r>
      <w:bookmarkStart w:id="5" w:name="_GoBack"/>
      <w:bookmarkEnd w:id="5"/>
      <w:r>
        <w:rPr>
          <w:rFonts w:hint="eastAsia"/>
          <w:b/>
        </w:rPr>
        <w:t>estriction information for the target cell configuration</w:t>
      </w:r>
      <w:r>
        <w:rPr>
          <w:b/>
        </w:rPr>
        <w:t xml:space="preserve">. </w:t>
      </w:r>
    </w:p>
    <w:p>
      <w:pPr>
        <w:rPr>
          <w:rFonts w:eastAsia="DengXian"/>
          <w:b/>
          <w:bCs/>
        </w:rPr>
      </w:pPr>
      <w:r>
        <w:rPr>
          <w:rFonts w:hint="eastAsia" w:eastAsia="DengXian"/>
          <w:b/>
          <w:bCs/>
        </w:rPr>
        <w:t>Proposal 4: During DAPS operation, the PH value of serving cell(s) in source side will not be reported to the target node, and vice vers</w:t>
      </w:r>
      <w:r>
        <w:rPr>
          <w:rFonts w:eastAsia="DengXian"/>
          <w:b/>
          <w:bCs/>
        </w:rPr>
        <w:t>a</w:t>
      </w:r>
      <w:r>
        <w:rPr>
          <w:rFonts w:hint="eastAsia" w:eastAsia="DengXian"/>
          <w:b/>
          <w:bCs/>
        </w:rPr>
        <w:t>. The UE will determine the PHR format used in target side based on the same rules as Rel-15 (i.e. no further optimization will be considered for PHR reporting in DAPS HO).</w:t>
      </w:r>
    </w:p>
    <w:p>
      <w:r>
        <w:rPr>
          <w:rFonts w:hint="eastAsia"/>
          <w:b/>
          <w:bCs/>
        </w:rPr>
        <w:t>Proposal 5: The SCell(s) should be explicitly released or kept in deactivated state during DAPS HO.</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pPr>
      <w:bookmarkStart w:id="3" w:name="_Ref27758"/>
      <w:r>
        <w:fldChar w:fldCharType="begin"/>
      </w:r>
      <w:r>
        <w:instrText xml:space="preserve"> HYPERLINK "file:///C:\\Users\\terhentt\\Documents\\Tdocs\\RAN2\\RAN2_107bis\\R2-1914131.zip" </w:instrText>
      </w:r>
      <w:r>
        <w:fldChar w:fldCharType="separate"/>
      </w:r>
      <w:r>
        <w:t>R2-1914131</w:t>
      </w:r>
      <w:r>
        <w:fldChar w:fldCharType="end"/>
      </w:r>
      <w:r>
        <w:t xml:space="preserve">, </w:t>
      </w:r>
      <w:bookmarkStart w:id="4" w:name="_Hlk21950795"/>
      <w:r>
        <w:t xml:space="preserve">Report from session on </w:t>
      </w:r>
      <w:bookmarkEnd w:id="4"/>
      <w:r>
        <w:t>LTE legacy, LTE TEI16 and NR/LTE Rel-16, Vice Chairman (Nokia)</w:t>
      </w:r>
    </w:p>
    <w:p>
      <w:pPr>
        <w:numPr>
          <w:ilvl w:val="0"/>
          <w:numId w:val="6"/>
        </w:numPr>
      </w:pPr>
      <w:r>
        <w:rPr>
          <w:rFonts w:hint="eastAsia"/>
        </w:rPr>
        <w:t>R4-1915781, Reply to LS on UE capabilities on DAPS HO, RAN4</w:t>
      </w:r>
    </w:p>
    <w:bookmarkEnd w:id="3"/>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DengXian">
    <w:altName w:val="宋体"/>
    <w:panose1 w:val="00000000000000000000"/>
    <w:charset w:val="86"/>
    <w:family w:val="auto"/>
    <w:pitch w:val="default"/>
    <w:sig w:usb0="00000000" w:usb1="00000000" w:usb2="00000016" w:usb3="00000000" w:csb0="0004000F" w:csb1="00000000"/>
  </w:font>
  <w:font w:name="STFangsong">
    <w:altName w:val="宋体"/>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CF5DE96D"/>
    <w:multiLevelType w:val="singleLevel"/>
    <w:tmpl w:val="CF5DE96D"/>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0242A01"/>
    <w:multiLevelType w:val="multilevel"/>
    <w:tmpl w:val="20242A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8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74B"/>
    <w:rsid w:val="00017BA5"/>
    <w:rsid w:val="00021259"/>
    <w:rsid w:val="00021359"/>
    <w:rsid w:val="000248FC"/>
    <w:rsid w:val="0002660A"/>
    <w:rsid w:val="00026899"/>
    <w:rsid w:val="0002698B"/>
    <w:rsid w:val="00034D5B"/>
    <w:rsid w:val="00035EF9"/>
    <w:rsid w:val="00037973"/>
    <w:rsid w:val="00040427"/>
    <w:rsid w:val="00040A63"/>
    <w:rsid w:val="0004105F"/>
    <w:rsid w:val="00042E6F"/>
    <w:rsid w:val="00043923"/>
    <w:rsid w:val="000563ED"/>
    <w:rsid w:val="000569AB"/>
    <w:rsid w:val="000610C3"/>
    <w:rsid w:val="000635B8"/>
    <w:rsid w:val="0007093A"/>
    <w:rsid w:val="0007205B"/>
    <w:rsid w:val="000755A8"/>
    <w:rsid w:val="00076B12"/>
    <w:rsid w:val="000803CC"/>
    <w:rsid w:val="000804D4"/>
    <w:rsid w:val="0008122E"/>
    <w:rsid w:val="00082CAA"/>
    <w:rsid w:val="00084609"/>
    <w:rsid w:val="00084AFC"/>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0F50E0"/>
    <w:rsid w:val="00100030"/>
    <w:rsid w:val="00105872"/>
    <w:rsid w:val="00111C96"/>
    <w:rsid w:val="00111CE0"/>
    <w:rsid w:val="00111DF0"/>
    <w:rsid w:val="001135C5"/>
    <w:rsid w:val="001147C0"/>
    <w:rsid w:val="001253A3"/>
    <w:rsid w:val="00125762"/>
    <w:rsid w:val="00126145"/>
    <w:rsid w:val="0012673B"/>
    <w:rsid w:val="001277F8"/>
    <w:rsid w:val="0013188E"/>
    <w:rsid w:val="00131E4E"/>
    <w:rsid w:val="00131F75"/>
    <w:rsid w:val="0013288E"/>
    <w:rsid w:val="00134275"/>
    <w:rsid w:val="00137B0E"/>
    <w:rsid w:val="00137D4E"/>
    <w:rsid w:val="001413B6"/>
    <w:rsid w:val="00141835"/>
    <w:rsid w:val="00145AFF"/>
    <w:rsid w:val="00147740"/>
    <w:rsid w:val="00150BAB"/>
    <w:rsid w:val="00153B68"/>
    <w:rsid w:val="00153E7C"/>
    <w:rsid w:val="001544F3"/>
    <w:rsid w:val="00156178"/>
    <w:rsid w:val="001601B5"/>
    <w:rsid w:val="00160A40"/>
    <w:rsid w:val="001627D9"/>
    <w:rsid w:val="00171FF9"/>
    <w:rsid w:val="0017245C"/>
    <w:rsid w:val="00172B18"/>
    <w:rsid w:val="00175874"/>
    <w:rsid w:val="001767E6"/>
    <w:rsid w:val="00176AC2"/>
    <w:rsid w:val="00177C11"/>
    <w:rsid w:val="001802FB"/>
    <w:rsid w:val="001806A8"/>
    <w:rsid w:val="00180983"/>
    <w:rsid w:val="00181E5B"/>
    <w:rsid w:val="0018310D"/>
    <w:rsid w:val="00184193"/>
    <w:rsid w:val="00186C3C"/>
    <w:rsid w:val="00187FEF"/>
    <w:rsid w:val="00190A8D"/>
    <w:rsid w:val="001917BC"/>
    <w:rsid w:val="00192DEB"/>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6BB3"/>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2605B"/>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3F87"/>
    <w:rsid w:val="002944B5"/>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2F6"/>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1CA"/>
    <w:rsid w:val="003D42C7"/>
    <w:rsid w:val="003D7765"/>
    <w:rsid w:val="003E1518"/>
    <w:rsid w:val="003E1A5E"/>
    <w:rsid w:val="003E2639"/>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4A5F"/>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3FDF"/>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17FE5"/>
    <w:rsid w:val="005214BE"/>
    <w:rsid w:val="005219AA"/>
    <w:rsid w:val="00522736"/>
    <w:rsid w:val="00525585"/>
    <w:rsid w:val="00525D1A"/>
    <w:rsid w:val="0052657B"/>
    <w:rsid w:val="00533C44"/>
    <w:rsid w:val="00534869"/>
    <w:rsid w:val="00536465"/>
    <w:rsid w:val="005371D2"/>
    <w:rsid w:val="005373C0"/>
    <w:rsid w:val="00537528"/>
    <w:rsid w:val="00542ED7"/>
    <w:rsid w:val="00545A76"/>
    <w:rsid w:val="00545E35"/>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1EBB"/>
    <w:rsid w:val="005B220B"/>
    <w:rsid w:val="005B2E19"/>
    <w:rsid w:val="005B66D2"/>
    <w:rsid w:val="005B7842"/>
    <w:rsid w:val="005C1AC7"/>
    <w:rsid w:val="005C20A4"/>
    <w:rsid w:val="005C2356"/>
    <w:rsid w:val="005C4B5D"/>
    <w:rsid w:val="005C75A2"/>
    <w:rsid w:val="005D383F"/>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533D"/>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16A1C"/>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1B84"/>
    <w:rsid w:val="007626A2"/>
    <w:rsid w:val="007651F0"/>
    <w:rsid w:val="00765D32"/>
    <w:rsid w:val="007676B1"/>
    <w:rsid w:val="007705A1"/>
    <w:rsid w:val="00770F43"/>
    <w:rsid w:val="00771468"/>
    <w:rsid w:val="007719AC"/>
    <w:rsid w:val="00773686"/>
    <w:rsid w:val="0077519F"/>
    <w:rsid w:val="00776AD0"/>
    <w:rsid w:val="007776DA"/>
    <w:rsid w:val="007845D7"/>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5044"/>
    <w:rsid w:val="00826157"/>
    <w:rsid w:val="00835356"/>
    <w:rsid w:val="00836D5A"/>
    <w:rsid w:val="0083795A"/>
    <w:rsid w:val="00837A39"/>
    <w:rsid w:val="00837C9F"/>
    <w:rsid w:val="00840712"/>
    <w:rsid w:val="00840820"/>
    <w:rsid w:val="008408A5"/>
    <w:rsid w:val="00843379"/>
    <w:rsid w:val="008436F0"/>
    <w:rsid w:val="00843DAA"/>
    <w:rsid w:val="00843F40"/>
    <w:rsid w:val="008505B6"/>
    <w:rsid w:val="00850AD1"/>
    <w:rsid w:val="00850EB4"/>
    <w:rsid w:val="00851A3E"/>
    <w:rsid w:val="00852259"/>
    <w:rsid w:val="008533BB"/>
    <w:rsid w:val="00853419"/>
    <w:rsid w:val="00855CBD"/>
    <w:rsid w:val="00856F99"/>
    <w:rsid w:val="00857C0F"/>
    <w:rsid w:val="00860FE6"/>
    <w:rsid w:val="00864678"/>
    <w:rsid w:val="00864D17"/>
    <w:rsid w:val="00870B6A"/>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6F1"/>
    <w:rsid w:val="008C3F98"/>
    <w:rsid w:val="008C76B1"/>
    <w:rsid w:val="008D1DAC"/>
    <w:rsid w:val="008D23AF"/>
    <w:rsid w:val="008D3A05"/>
    <w:rsid w:val="008D41FD"/>
    <w:rsid w:val="008D5D5E"/>
    <w:rsid w:val="008D681A"/>
    <w:rsid w:val="008D6B1A"/>
    <w:rsid w:val="008D6D38"/>
    <w:rsid w:val="008E0617"/>
    <w:rsid w:val="008E5270"/>
    <w:rsid w:val="008E5B71"/>
    <w:rsid w:val="008E5EDA"/>
    <w:rsid w:val="008E705E"/>
    <w:rsid w:val="008F1092"/>
    <w:rsid w:val="008F2453"/>
    <w:rsid w:val="008F34E9"/>
    <w:rsid w:val="008F35C1"/>
    <w:rsid w:val="008F3C47"/>
    <w:rsid w:val="008F5CD0"/>
    <w:rsid w:val="008F671D"/>
    <w:rsid w:val="008F694E"/>
    <w:rsid w:val="00901267"/>
    <w:rsid w:val="00902701"/>
    <w:rsid w:val="00902833"/>
    <w:rsid w:val="009039E2"/>
    <w:rsid w:val="00904391"/>
    <w:rsid w:val="00910FF5"/>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196E"/>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74E"/>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0F3B"/>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56D2"/>
    <w:rsid w:val="00AD62D8"/>
    <w:rsid w:val="00AE5146"/>
    <w:rsid w:val="00AE55C5"/>
    <w:rsid w:val="00AE5A4F"/>
    <w:rsid w:val="00AE7AD4"/>
    <w:rsid w:val="00AE7B16"/>
    <w:rsid w:val="00AF0B65"/>
    <w:rsid w:val="00AF2E3E"/>
    <w:rsid w:val="00AF52A8"/>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12B7"/>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1FE8"/>
    <w:rsid w:val="00B928EE"/>
    <w:rsid w:val="00B92AD5"/>
    <w:rsid w:val="00B94BA4"/>
    <w:rsid w:val="00B97DB5"/>
    <w:rsid w:val="00BA0B0B"/>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850"/>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86D12"/>
    <w:rsid w:val="00D90A99"/>
    <w:rsid w:val="00D90C5C"/>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5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0002"/>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186"/>
    <w:rsid w:val="00F96BAD"/>
    <w:rsid w:val="00FA01A6"/>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1FF"/>
    <w:rsid w:val="00FE09E7"/>
    <w:rsid w:val="00FE2161"/>
    <w:rsid w:val="00FE58B6"/>
    <w:rsid w:val="00FE7430"/>
    <w:rsid w:val="00FF0471"/>
    <w:rsid w:val="00FF0AAD"/>
    <w:rsid w:val="00FF29CE"/>
    <w:rsid w:val="00FF2E7C"/>
    <w:rsid w:val="00FF2EAF"/>
    <w:rsid w:val="00FF33F4"/>
    <w:rsid w:val="01131166"/>
    <w:rsid w:val="012B3682"/>
    <w:rsid w:val="016210DF"/>
    <w:rsid w:val="0165600B"/>
    <w:rsid w:val="016E3B27"/>
    <w:rsid w:val="01767489"/>
    <w:rsid w:val="0185508D"/>
    <w:rsid w:val="01910DD3"/>
    <w:rsid w:val="01920B2D"/>
    <w:rsid w:val="019266BB"/>
    <w:rsid w:val="01943782"/>
    <w:rsid w:val="01977F6A"/>
    <w:rsid w:val="01A46D0E"/>
    <w:rsid w:val="01A5265A"/>
    <w:rsid w:val="01AC40BD"/>
    <w:rsid w:val="01AE3B73"/>
    <w:rsid w:val="01AF7A72"/>
    <w:rsid w:val="01B13560"/>
    <w:rsid w:val="01BE26E7"/>
    <w:rsid w:val="01C05D49"/>
    <w:rsid w:val="01C66A3F"/>
    <w:rsid w:val="01EE78D1"/>
    <w:rsid w:val="01F81BB8"/>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7793D"/>
    <w:rsid w:val="02BA02BA"/>
    <w:rsid w:val="02C62E55"/>
    <w:rsid w:val="02DF3C44"/>
    <w:rsid w:val="02E712F2"/>
    <w:rsid w:val="02E968F1"/>
    <w:rsid w:val="03110E8E"/>
    <w:rsid w:val="03202434"/>
    <w:rsid w:val="0320614B"/>
    <w:rsid w:val="0347521D"/>
    <w:rsid w:val="035A5498"/>
    <w:rsid w:val="035B5483"/>
    <w:rsid w:val="036C3B3B"/>
    <w:rsid w:val="037175E3"/>
    <w:rsid w:val="037221B3"/>
    <w:rsid w:val="037A6160"/>
    <w:rsid w:val="03857386"/>
    <w:rsid w:val="03892EFE"/>
    <w:rsid w:val="039A2405"/>
    <w:rsid w:val="039A4F82"/>
    <w:rsid w:val="039A7700"/>
    <w:rsid w:val="03BD31AF"/>
    <w:rsid w:val="03BE00C0"/>
    <w:rsid w:val="03D52450"/>
    <w:rsid w:val="03E65927"/>
    <w:rsid w:val="03E9137F"/>
    <w:rsid w:val="03EB5E4F"/>
    <w:rsid w:val="03EC1D7B"/>
    <w:rsid w:val="03F148CD"/>
    <w:rsid w:val="03F334EB"/>
    <w:rsid w:val="03FE0DFE"/>
    <w:rsid w:val="04067142"/>
    <w:rsid w:val="040D6866"/>
    <w:rsid w:val="041C2081"/>
    <w:rsid w:val="042320E4"/>
    <w:rsid w:val="042722D0"/>
    <w:rsid w:val="043E7F06"/>
    <w:rsid w:val="044469A4"/>
    <w:rsid w:val="04456CA0"/>
    <w:rsid w:val="0451320B"/>
    <w:rsid w:val="045763FA"/>
    <w:rsid w:val="046F1C6A"/>
    <w:rsid w:val="047034F5"/>
    <w:rsid w:val="04754B65"/>
    <w:rsid w:val="04861082"/>
    <w:rsid w:val="048A123B"/>
    <w:rsid w:val="048C5BD9"/>
    <w:rsid w:val="04996B65"/>
    <w:rsid w:val="04A03D85"/>
    <w:rsid w:val="04A74FE4"/>
    <w:rsid w:val="04D2402F"/>
    <w:rsid w:val="04EB5671"/>
    <w:rsid w:val="04ED36E0"/>
    <w:rsid w:val="04FB5FD2"/>
    <w:rsid w:val="050C31AF"/>
    <w:rsid w:val="05174168"/>
    <w:rsid w:val="051E36E6"/>
    <w:rsid w:val="053166CA"/>
    <w:rsid w:val="05332C41"/>
    <w:rsid w:val="053A09F3"/>
    <w:rsid w:val="054C7D3F"/>
    <w:rsid w:val="054D4214"/>
    <w:rsid w:val="05526E77"/>
    <w:rsid w:val="056D39BD"/>
    <w:rsid w:val="058267E3"/>
    <w:rsid w:val="058442CB"/>
    <w:rsid w:val="05895256"/>
    <w:rsid w:val="05B21BDC"/>
    <w:rsid w:val="05D1713F"/>
    <w:rsid w:val="05D92123"/>
    <w:rsid w:val="05DA5565"/>
    <w:rsid w:val="05E024B6"/>
    <w:rsid w:val="05F13BE9"/>
    <w:rsid w:val="05F178AC"/>
    <w:rsid w:val="06017A73"/>
    <w:rsid w:val="06022874"/>
    <w:rsid w:val="060A555D"/>
    <w:rsid w:val="06136726"/>
    <w:rsid w:val="061A1A10"/>
    <w:rsid w:val="06293C52"/>
    <w:rsid w:val="063F71ED"/>
    <w:rsid w:val="06406186"/>
    <w:rsid w:val="06577E85"/>
    <w:rsid w:val="0665683F"/>
    <w:rsid w:val="066F0DC7"/>
    <w:rsid w:val="067851DF"/>
    <w:rsid w:val="067F0396"/>
    <w:rsid w:val="069621D1"/>
    <w:rsid w:val="069E5DC0"/>
    <w:rsid w:val="06AF5E97"/>
    <w:rsid w:val="06BB3C62"/>
    <w:rsid w:val="06CC4C2E"/>
    <w:rsid w:val="06CE3E32"/>
    <w:rsid w:val="06D97CA7"/>
    <w:rsid w:val="06EE5F3A"/>
    <w:rsid w:val="06F00F80"/>
    <w:rsid w:val="06F628A6"/>
    <w:rsid w:val="06F90F74"/>
    <w:rsid w:val="06FC5420"/>
    <w:rsid w:val="06FE56CC"/>
    <w:rsid w:val="0701056C"/>
    <w:rsid w:val="07056544"/>
    <w:rsid w:val="0706413A"/>
    <w:rsid w:val="070F4249"/>
    <w:rsid w:val="071E610B"/>
    <w:rsid w:val="07387A0E"/>
    <w:rsid w:val="07505A8A"/>
    <w:rsid w:val="075926F1"/>
    <w:rsid w:val="07625AB8"/>
    <w:rsid w:val="07681D08"/>
    <w:rsid w:val="07722969"/>
    <w:rsid w:val="078158EA"/>
    <w:rsid w:val="07843668"/>
    <w:rsid w:val="07847AEC"/>
    <w:rsid w:val="07923981"/>
    <w:rsid w:val="079368A6"/>
    <w:rsid w:val="07AA6390"/>
    <w:rsid w:val="07B47F2F"/>
    <w:rsid w:val="07BE2890"/>
    <w:rsid w:val="07C4242C"/>
    <w:rsid w:val="07C84D70"/>
    <w:rsid w:val="07D66BB7"/>
    <w:rsid w:val="07E121C2"/>
    <w:rsid w:val="07E20825"/>
    <w:rsid w:val="07E62C3B"/>
    <w:rsid w:val="07EC790A"/>
    <w:rsid w:val="07F50292"/>
    <w:rsid w:val="07FE63E8"/>
    <w:rsid w:val="083D222A"/>
    <w:rsid w:val="083E7D1C"/>
    <w:rsid w:val="083F69AD"/>
    <w:rsid w:val="08555405"/>
    <w:rsid w:val="08561FA2"/>
    <w:rsid w:val="08590F51"/>
    <w:rsid w:val="086334CF"/>
    <w:rsid w:val="08690BF0"/>
    <w:rsid w:val="0877760D"/>
    <w:rsid w:val="08787E39"/>
    <w:rsid w:val="08896E68"/>
    <w:rsid w:val="089E1AEE"/>
    <w:rsid w:val="08A1177C"/>
    <w:rsid w:val="08B02DDD"/>
    <w:rsid w:val="08BB6EAC"/>
    <w:rsid w:val="08C11278"/>
    <w:rsid w:val="08CA2035"/>
    <w:rsid w:val="08E33A5D"/>
    <w:rsid w:val="08EA1C68"/>
    <w:rsid w:val="08F22BC2"/>
    <w:rsid w:val="08F54145"/>
    <w:rsid w:val="08FC7AC7"/>
    <w:rsid w:val="08FE5C78"/>
    <w:rsid w:val="09021076"/>
    <w:rsid w:val="09065647"/>
    <w:rsid w:val="090968DC"/>
    <w:rsid w:val="0915066C"/>
    <w:rsid w:val="092464BF"/>
    <w:rsid w:val="092F7295"/>
    <w:rsid w:val="09330B6E"/>
    <w:rsid w:val="09392AF8"/>
    <w:rsid w:val="093E5899"/>
    <w:rsid w:val="094311F4"/>
    <w:rsid w:val="094F257F"/>
    <w:rsid w:val="096D227C"/>
    <w:rsid w:val="09712D2D"/>
    <w:rsid w:val="0980678C"/>
    <w:rsid w:val="098246C4"/>
    <w:rsid w:val="098B7715"/>
    <w:rsid w:val="09A955D3"/>
    <w:rsid w:val="09B81315"/>
    <w:rsid w:val="09C068A5"/>
    <w:rsid w:val="09C1228B"/>
    <w:rsid w:val="09C829B4"/>
    <w:rsid w:val="09CA0AC6"/>
    <w:rsid w:val="09D50EC2"/>
    <w:rsid w:val="09F46281"/>
    <w:rsid w:val="09F546E9"/>
    <w:rsid w:val="09F57CE7"/>
    <w:rsid w:val="09F7192D"/>
    <w:rsid w:val="09FD4DBD"/>
    <w:rsid w:val="0A090AAC"/>
    <w:rsid w:val="0A204B1C"/>
    <w:rsid w:val="0A2E5DB1"/>
    <w:rsid w:val="0A2F46DB"/>
    <w:rsid w:val="0A337541"/>
    <w:rsid w:val="0A386426"/>
    <w:rsid w:val="0A3A19B2"/>
    <w:rsid w:val="0A4E1BB6"/>
    <w:rsid w:val="0A575370"/>
    <w:rsid w:val="0A5C2E75"/>
    <w:rsid w:val="0A6277D4"/>
    <w:rsid w:val="0A6614C9"/>
    <w:rsid w:val="0A664AD3"/>
    <w:rsid w:val="0A7232D3"/>
    <w:rsid w:val="0A97216E"/>
    <w:rsid w:val="0A9C11D4"/>
    <w:rsid w:val="0AA5549A"/>
    <w:rsid w:val="0AAE3C34"/>
    <w:rsid w:val="0AB16064"/>
    <w:rsid w:val="0AB57D41"/>
    <w:rsid w:val="0AB74037"/>
    <w:rsid w:val="0ABB64D4"/>
    <w:rsid w:val="0ABF5314"/>
    <w:rsid w:val="0AF957A7"/>
    <w:rsid w:val="0B104C80"/>
    <w:rsid w:val="0B1537E9"/>
    <w:rsid w:val="0B1B0258"/>
    <w:rsid w:val="0B2116DD"/>
    <w:rsid w:val="0B2F5449"/>
    <w:rsid w:val="0B3A6177"/>
    <w:rsid w:val="0B542366"/>
    <w:rsid w:val="0B5841D8"/>
    <w:rsid w:val="0B625907"/>
    <w:rsid w:val="0B6D671D"/>
    <w:rsid w:val="0B800594"/>
    <w:rsid w:val="0B833CB9"/>
    <w:rsid w:val="0B8459A2"/>
    <w:rsid w:val="0BA01E5E"/>
    <w:rsid w:val="0BA40793"/>
    <w:rsid w:val="0BB77542"/>
    <w:rsid w:val="0BC1136C"/>
    <w:rsid w:val="0BC87CC9"/>
    <w:rsid w:val="0BD9718B"/>
    <w:rsid w:val="0BE64BE6"/>
    <w:rsid w:val="0BEA1A76"/>
    <w:rsid w:val="0BEB698D"/>
    <w:rsid w:val="0BF4523A"/>
    <w:rsid w:val="0C022CD6"/>
    <w:rsid w:val="0C0F2FEF"/>
    <w:rsid w:val="0C21687B"/>
    <w:rsid w:val="0C221921"/>
    <w:rsid w:val="0C2B7B6C"/>
    <w:rsid w:val="0C3034B4"/>
    <w:rsid w:val="0C35257F"/>
    <w:rsid w:val="0C4E0C6C"/>
    <w:rsid w:val="0C5C4277"/>
    <w:rsid w:val="0C6B0442"/>
    <w:rsid w:val="0C701FA2"/>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593CED"/>
    <w:rsid w:val="0E652A06"/>
    <w:rsid w:val="0E6A01E6"/>
    <w:rsid w:val="0E8C09CF"/>
    <w:rsid w:val="0E8D03D6"/>
    <w:rsid w:val="0E930DC4"/>
    <w:rsid w:val="0EA41BE0"/>
    <w:rsid w:val="0EA92C9F"/>
    <w:rsid w:val="0EAD2320"/>
    <w:rsid w:val="0EC509E4"/>
    <w:rsid w:val="0ECC22F2"/>
    <w:rsid w:val="0ED0032D"/>
    <w:rsid w:val="0ED102AF"/>
    <w:rsid w:val="0ED4677A"/>
    <w:rsid w:val="0ED64E1A"/>
    <w:rsid w:val="0EDC06F9"/>
    <w:rsid w:val="0EE1071D"/>
    <w:rsid w:val="0EE76A74"/>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4F3CFB"/>
    <w:rsid w:val="0F557405"/>
    <w:rsid w:val="0F5626C1"/>
    <w:rsid w:val="0F63349B"/>
    <w:rsid w:val="0F634273"/>
    <w:rsid w:val="0F790B07"/>
    <w:rsid w:val="0F7F7301"/>
    <w:rsid w:val="0F847A92"/>
    <w:rsid w:val="0F99304D"/>
    <w:rsid w:val="0F9D3AE8"/>
    <w:rsid w:val="0FB52E3F"/>
    <w:rsid w:val="0FBF7F6A"/>
    <w:rsid w:val="0FCB2B72"/>
    <w:rsid w:val="0FCC249F"/>
    <w:rsid w:val="0FDD3ABD"/>
    <w:rsid w:val="0FDD41C9"/>
    <w:rsid w:val="0FDE34CC"/>
    <w:rsid w:val="0FFC2B88"/>
    <w:rsid w:val="0FFD42FF"/>
    <w:rsid w:val="10144ACE"/>
    <w:rsid w:val="10192E34"/>
    <w:rsid w:val="10220ACB"/>
    <w:rsid w:val="10265030"/>
    <w:rsid w:val="10324C94"/>
    <w:rsid w:val="103E1201"/>
    <w:rsid w:val="104177FA"/>
    <w:rsid w:val="105553B4"/>
    <w:rsid w:val="105F2701"/>
    <w:rsid w:val="105F3355"/>
    <w:rsid w:val="10633DE5"/>
    <w:rsid w:val="106C51AC"/>
    <w:rsid w:val="1075556C"/>
    <w:rsid w:val="1085601B"/>
    <w:rsid w:val="10870262"/>
    <w:rsid w:val="10993A5B"/>
    <w:rsid w:val="109C7E53"/>
    <w:rsid w:val="109D01C9"/>
    <w:rsid w:val="109E5C77"/>
    <w:rsid w:val="10A15BAF"/>
    <w:rsid w:val="10A54549"/>
    <w:rsid w:val="10AD1F54"/>
    <w:rsid w:val="10B20497"/>
    <w:rsid w:val="10B2230B"/>
    <w:rsid w:val="10B34DD4"/>
    <w:rsid w:val="10BA6965"/>
    <w:rsid w:val="10D80BBB"/>
    <w:rsid w:val="10DC7FF8"/>
    <w:rsid w:val="10ED31AD"/>
    <w:rsid w:val="110651DD"/>
    <w:rsid w:val="110A40E9"/>
    <w:rsid w:val="11186F4B"/>
    <w:rsid w:val="112A395D"/>
    <w:rsid w:val="112C68E5"/>
    <w:rsid w:val="11407272"/>
    <w:rsid w:val="114E07E1"/>
    <w:rsid w:val="115246AD"/>
    <w:rsid w:val="11592E73"/>
    <w:rsid w:val="116C5EAE"/>
    <w:rsid w:val="116F5D3F"/>
    <w:rsid w:val="1186675B"/>
    <w:rsid w:val="118D68C4"/>
    <w:rsid w:val="11941E54"/>
    <w:rsid w:val="11953B1A"/>
    <w:rsid w:val="11965A2F"/>
    <w:rsid w:val="11993508"/>
    <w:rsid w:val="11A52536"/>
    <w:rsid w:val="11B30D67"/>
    <w:rsid w:val="11CE15C5"/>
    <w:rsid w:val="11CF6BAC"/>
    <w:rsid w:val="11D46CF7"/>
    <w:rsid w:val="11DB1A57"/>
    <w:rsid w:val="11E13B1A"/>
    <w:rsid w:val="11F33AF7"/>
    <w:rsid w:val="120209EA"/>
    <w:rsid w:val="1208044F"/>
    <w:rsid w:val="120838DF"/>
    <w:rsid w:val="120D6BF1"/>
    <w:rsid w:val="121264F9"/>
    <w:rsid w:val="12164442"/>
    <w:rsid w:val="121E625C"/>
    <w:rsid w:val="12205607"/>
    <w:rsid w:val="12214918"/>
    <w:rsid w:val="122350B5"/>
    <w:rsid w:val="12376C75"/>
    <w:rsid w:val="123D7BF3"/>
    <w:rsid w:val="124F5AF8"/>
    <w:rsid w:val="125A2D78"/>
    <w:rsid w:val="125F75C5"/>
    <w:rsid w:val="127C42A0"/>
    <w:rsid w:val="1281311E"/>
    <w:rsid w:val="129137BD"/>
    <w:rsid w:val="12A95967"/>
    <w:rsid w:val="12AB4AA1"/>
    <w:rsid w:val="12D86D99"/>
    <w:rsid w:val="12EF1DC3"/>
    <w:rsid w:val="12EF741A"/>
    <w:rsid w:val="12F254D0"/>
    <w:rsid w:val="12F3239A"/>
    <w:rsid w:val="12FE42D6"/>
    <w:rsid w:val="130A5E23"/>
    <w:rsid w:val="1316681A"/>
    <w:rsid w:val="131C3CE3"/>
    <w:rsid w:val="131D5C4A"/>
    <w:rsid w:val="13207D37"/>
    <w:rsid w:val="132A76BE"/>
    <w:rsid w:val="13353240"/>
    <w:rsid w:val="133B4CCF"/>
    <w:rsid w:val="135850AB"/>
    <w:rsid w:val="13611100"/>
    <w:rsid w:val="136345D4"/>
    <w:rsid w:val="1365208E"/>
    <w:rsid w:val="136C1339"/>
    <w:rsid w:val="137C093B"/>
    <w:rsid w:val="137C409F"/>
    <w:rsid w:val="13930028"/>
    <w:rsid w:val="1396509F"/>
    <w:rsid w:val="13977F36"/>
    <w:rsid w:val="139D0995"/>
    <w:rsid w:val="13AE3872"/>
    <w:rsid w:val="13B567C3"/>
    <w:rsid w:val="13B85A09"/>
    <w:rsid w:val="13BB7F7B"/>
    <w:rsid w:val="13D94098"/>
    <w:rsid w:val="13DD35D9"/>
    <w:rsid w:val="13ED1CD8"/>
    <w:rsid w:val="13F54FCF"/>
    <w:rsid w:val="13FB176A"/>
    <w:rsid w:val="13FF2E83"/>
    <w:rsid w:val="14005403"/>
    <w:rsid w:val="140300D1"/>
    <w:rsid w:val="14095D44"/>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4F83045"/>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539BD"/>
    <w:rsid w:val="160F2C35"/>
    <w:rsid w:val="16203964"/>
    <w:rsid w:val="16314D23"/>
    <w:rsid w:val="164B61A6"/>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017BE"/>
    <w:rsid w:val="173426EA"/>
    <w:rsid w:val="17380DC9"/>
    <w:rsid w:val="173E4C52"/>
    <w:rsid w:val="17432E41"/>
    <w:rsid w:val="174B3A7D"/>
    <w:rsid w:val="175454DC"/>
    <w:rsid w:val="1758731E"/>
    <w:rsid w:val="17636FAF"/>
    <w:rsid w:val="17702879"/>
    <w:rsid w:val="177761B3"/>
    <w:rsid w:val="178424FA"/>
    <w:rsid w:val="178D2C84"/>
    <w:rsid w:val="178D7F71"/>
    <w:rsid w:val="17941E8E"/>
    <w:rsid w:val="179E7495"/>
    <w:rsid w:val="17A026E1"/>
    <w:rsid w:val="17AB2B97"/>
    <w:rsid w:val="17AD7328"/>
    <w:rsid w:val="17C66C3A"/>
    <w:rsid w:val="17CE580D"/>
    <w:rsid w:val="17D83819"/>
    <w:rsid w:val="17F60521"/>
    <w:rsid w:val="17FF4999"/>
    <w:rsid w:val="180C023B"/>
    <w:rsid w:val="18170776"/>
    <w:rsid w:val="18226EE6"/>
    <w:rsid w:val="182B4F94"/>
    <w:rsid w:val="18366840"/>
    <w:rsid w:val="18474F16"/>
    <w:rsid w:val="185266D4"/>
    <w:rsid w:val="18535C42"/>
    <w:rsid w:val="18624D41"/>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34692"/>
    <w:rsid w:val="192948E6"/>
    <w:rsid w:val="19306452"/>
    <w:rsid w:val="19352F90"/>
    <w:rsid w:val="194452C6"/>
    <w:rsid w:val="19447EB2"/>
    <w:rsid w:val="19471E13"/>
    <w:rsid w:val="194751C8"/>
    <w:rsid w:val="194E56C4"/>
    <w:rsid w:val="19560DD4"/>
    <w:rsid w:val="19684F1E"/>
    <w:rsid w:val="198B7F7F"/>
    <w:rsid w:val="19B00ED9"/>
    <w:rsid w:val="19B56E5D"/>
    <w:rsid w:val="19B93C2B"/>
    <w:rsid w:val="19BD310F"/>
    <w:rsid w:val="19CB397F"/>
    <w:rsid w:val="19D74D72"/>
    <w:rsid w:val="19D9306B"/>
    <w:rsid w:val="19EA15B3"/>
    <w:rsid w:val="19F5126C"/>
    <w:rsid w:val="19FA1601"/>
    <w:rsid w:val="19FC4936"/>
    <w:rsid w:val="1A097A84"/>
    <w:rsid w:val="1A112EAE"/>
    <w:rsid w:val="1A1178BB"/>
    <w:rsid w:val="1A1D6630"/>
    <w:rsid w:val="1A250726"/>
    <w:rsid w:val="1A3641BA"/>
    <w:rsid w:val="1A460F93"/>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929AB"/>
    <w:rsid w:val="1B47772F"/>
    <w:rsid w:val="1B50538E"/>
    <w:rsid w:val="1B5322E9"/>
    <w:rsid w:val="1B544014"/>
    <w:rsid w:val="1B5B7A84"/>
    <w:rsid w:val="1B607248"/>
    <w:rsid w:val="1B612AFA"/>
    <w:rsid w:val="1B693EA3"/>
    <w:rsid w:val="1B6B1131"/>
    <w:rsid w:val="1B6C25E8"/>
    <w:rsid w:val="1B741476"/>
    <w:rsid w:val="1B793426"/>
    <w:rsid w:val="1B801536"/>
    <w:rsid w:val="1B820E94"/>
    <w:rsid w:val="1B8260BC"/>
    <w:rsid w:val="1B8A2061"/>
    <w:rsid w:val="1BA05C6A"/>
    <w:rsid w:val="1BAA2BCF"/>
    <w:rsid w:val="1BC33E03"/>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66941"/>
    <w:rsid w:val="1C9C1BE4"/>
    <w:rsid w:val="1CA0266C"/>
    <w:rsid w:val="1CA318E7"/>
    <w:rsid w:val="1CA628A6"/>
    <w:rsid w:val="1CAD3858"/>
    <w:rsid w:val="1CAF18A4"/>
    <w:rsid w:val="1CB87328"/>
    <w:rsid w:val="1CBA342B"/>
    <w:rsid w:val="1CC04946"/>
    <w:rsid w:val="1CC400CD"/>
    <w:rsid w:val="1CCA7433"/>
    <w:rsid w:val="1CCE78A2"/>
    <w:rsid w:val="1CD75D57"/>
    <w:rsid w:val="1CDC087A"/>
    <w:rsid w:val="1CFB474C"/>
    <w:rsid w:val="1D052D81"/>
    <w:rsid w:val="1D110690"/>
    <w:rsid w:val="1D111ED4"/>
    <w:rsid w:val="1D1E5C67"/>
    <w:rsid w:val="1D2764EB"/>
    <w:rsid w:val="1D2C43C8"/>
    <w:rsid w:val="1D335855"/>
    <w:rsid w:val="1D3507AD"/>
    <w:rsid w:val="1D3F4F0A"/>
    <w:rsid w:val="1D6747F5"/>
    <w:rsid w:val="1D702483"/>
    <w:rsid w:val="1D7B7BDF"/>
    <w:rsid w:val="1D7C0AC5"/>
    <w:rsid w:val="1D812F92"/>
    <w:rsid w:val="1D850034"/>
    <w:rsid w:val="1D8B6EC0"/>
    <w:rsid w:val="1D8B7060"/>
    <w:rsid w:val="1DA70EBB"/>
    <w:rsid w:val="1DAF4844"/>
    <w:rsid w:val="1DB15797"/>
    <w:rsid w:val="1DC43BC4"/>
    <w:rsid w:val="1DCC34E5"/>
    <w:rsid w:val="1DCF2EDB"/>
    <w:rsid w:val="1DDE47B5"/>
    <w:rsid w:val="1DFD5D66"/>
    <w:rsid w:val="1E1C0F23"/>
    <w:rsid w:val="1E1D3350"/>
    <w:rsid w:val="1E2D3856"/>
    <w:rsid w:val="1E2E6394"/>
    <w:rsid w:val="1E4C7C99"/>
    <w:rsid w:val="1E6D14C7"/>
    <w:rsid w:val="1E6E29BC"/>
    <w:rsid w:val="1E721FE6"/>
    <w:rsid w:val="1E842EE0"/>
    <w:rsid w:val="1E8D43F9"/>
    <w:rsid w:val="1EA250CA"/>
    <w:rsid w:val="1EA5131C"/>
    <w:rsid w:val="1EAC0652"/>
    <w:rsid w:val="1EC012AB"/>
    <w:rsid w:val="1EC33879"/>
    <w:rsid w:val="1EC97015"/>
    <w:rsid w:val="1ED25FFE"/>
    <w:rsid w:val="1ED45928"/>
    <w:rsid w:val="1EDD24BC"/>
    <w:rsid w:val="1EE16ED9"/>
    <w:rsid w:val="1EEA0C85"/>
    <w:rsid w:val="1F1E5DB2"/>
    <w:rsid w:val="1F293665"/>
    <w:rsid w:val="1F2A2BC5"/>
    <w:rsid w:val="1F2D7AB7"/>
    <w:rsid w:val="1F2E08BF"/>
    <w:rsid w:val="1F3C203A"/>
    <w:rsid w:val="1F4154A3"/>
    <w:rsid w:val="1F495793"/>
    <w:rsid w:val="1F4F31D2"/>
    <w:rsid w:val="1F6A55F0"/>
    <w:rsid w:val="1F8B4035"/>
    <w:rsid w:val="1F8F3B44"/>
    <w:rsid w:val="1FA042BC"/>
    <w:rsid w:val="1FAD75BF"/>
    <w:rsid w:val="1FB87C4A"/>
    <w:rsid w:val="1FDE1119"/>
    <w:rsid w:val="1FDE5CF0"/>
    <w:rsid w:val="1FE3112B"/>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C8456D"/>
    <w:rsid w:val="20D35DF3"/>
    <w:rsid w:val="20D95613"/>
    <w:rsid w:val="20DB6833"/>
    <w:rsid w:val="20F30681"/>
    <w:rsid w:val="20FA1C1F"/>
    <w:rsid w:val="20FC1399"/>
    <w:rsid w:val="21084BF5"/>
    <w:rsid w:val="21090BEB"/>
    <w:rsid w:val="2112563D"/>
    <w:rsid w:val="21133D9A"/>
    <w:rsid w:val="21144B45"/>
    <w:rsid w:val="21175D69"/>
    <w:rsid w:val="21236E7B"/>
    <w:rsid w:val="212A5657"/>
    <w:rsid w:val="212D6E70"/>
    <w:rsid w:val="21325170"/>
    <w:rsid w:val="213C4E2F"/>
    <w:rsid w:val="213D0E8C"/>
    <w:rsid w:val="2140662B"/>
    <w:rsid w:val="214C3CD5"/>
    <w:rsid w:val="215A2AFE"/>
    <w:rsid w:val="215F458F"/>
    <w:rsid w:val="21711085"/>
    <w:rsid w:val="217228C9"/>
    <w:rsid w:val="218E0201"/>
    <w:rsid w:val="21926F6C"/>
    <w:rsid w:val="21936236"/>
    <w:rsid w:val="21A71340"/>
    <w:rsid w:val="21AE7BDE"/>
    <w:rsid w:val="21B13AA1"/>
    <w:rsid w:val="21B24080"/>
    <w:rsid w:val="21BF67E6"/>
    <w:rsid w:val="21C051BE"/>
    <w:rsid w:val="21C268DE"/>
    <w:rsid w:val="21C27F50"/>
    <w:rsid w:val="21CE183A"/>
    <w:rsid w:val="21D061B3"/>
    <w:rsid w:val="21D24CF4"/>
    <w:rsid w:val="21DE47CF"/>
    <w:rsid w:val="21FA7C76"/>
    <w:rsid w:val="21FB378E"/>
    <w:rsid w:val="21FC7436"/>
    <w:rsid w:val="22086DD5"/>
    <w:rsid w:val="220D602F"/>
    <w:rsid w:val="221122B7"/>
    <w:rsid w:val="221335D5"/>
    <w:rsid w:val="221803B8"/>
    <w:rsid w:val="22231FCD"/>
    <w:rsid w:val="223F2906"/>
    <w:rsid w:val="22460F19"/>
    <w:rsid w:val="22560915"/>
    <w:rsid w:val="226F2366"/>
    <w:rsid w:val="227167CA"/>
    <w:rsid w:val="22727FD0"/>
    <w:rsid w:val="227724FD"/>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B5173"/>
    <w:rsid w:val="231C0D19"/>
    <w:rsid w:val="2335341D"/>
    <w:rsid w:val="233B6DCC"/>
    <w:rsid w:val="233F2E83"/>
    <w:rsid w:val="234B4184"/>
    <w:rsid w:val="234F6DA9"/>
    <w:rsid w:val="234F75EF"/>
    <w:rsid w:val="23506762"/>
    <w:rsid w:val="23557637"/>
    <w:rsid w:val="236257B7"/>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F6960"/>
    <w:rsid w:val="24044AAD"/>
    <w:rsid w:val="24244378"/>
    <w:rsid w:val="2429376D"/>
    <w:rsid w:val="243B73AD"/>
    <w:rsid w:val="244C76D3"/>
    <w:rsid w:val="24542AEA"/>
    <w:rsid w:val="245A673B"/>
    <w:rsid w:val="245D7497"/>
    <w:rsid w:val="24601C34"/>
    <w:rsid w:val="247028DC"/>
    <w:rsid w:val="2473264B"/>
    <w:rsid w:val="24915BAB"/>
    <w:rsid w:val="24992C3F"/>
    <w:rsid w:val="249E445B"/>
    <w:rsid w:val="249F57D9"/>
    <w:rsid w:val="24BD12F1"/>
    <w:rsid w:val="24CE18C8"/>
    <w:rsid w:val="24DB7584"/>
    <w:rsid w:val="24DC690A"/>
    <w:rsid w:val="24DF68C8"/>
    <w:rsid w:val="24E10CA7"/>
    <w:rsid w:val="24E113F5"/>
    <w:rsid w:val="24E70DDF"/>
    <w:rsid w:val="25005C72"/>
    <w:rsid w:val="25072CB6"/>
    <w:rsid w:val="250F3ABA"/>
    <w:rsid w:val="25150E4A"/>
    <w:rsid w:val="252F2220"/>
    <w:rsid w:val="25302435"/>
    <w:rsid w:val="2531321D"/>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E71F78"/>
    <w:rsid w:val="25EA75FB"/>
    <w:rsid w:val="26033C65"/>
    <w:rsid w:val="26035F87"/>
    <w:rsid w:val="26081BF8"/>
    <w:rsid w:val="260C58C5"/>
    <w:rsid w:val="26103B59"/>
    <w:rsid w:val="261F28E2"/>
    <w:rsid w:val="26264554"/>
    <w:rsid w:val="263235F5"/>
    <w:rsid w:val="26333A29"/>
    <w:rsid w:val="26351784"/>
    <w:rsid w:val="26392AAE"/>
    <w:rsid w:val="26427A28"/>
    <w:rsid w:val="26525ABF"/>
    <w:rsid w:val="26574E2B"/>
    <w:rsid w:val="265826A7"/>
    <w:rsid w:val="266B5E94"/>
    <w:rsid w:val="267056BF"/>
    <w:rsid w:val="267E55B8"/>
    <w:rsid w:val="2682002D"/>
    <w:rsid w:val="268426E2"/>
    <w:rsid w:val="26871BB0"/>
    <w:rsid w:val="268D61F7"/>
    <w:rsid w:val="26915CA2"/>
    <w:rsid w:val="269A4F13"/>
    <w:rsid w:val="26BF485A"/>
    <w:rsid w:val="26E32255"/>
    <w:rsid w:val="26EA75CE"/>
    <w:rsid w:val="26EC6E10"/>
    <w:rsid w:val="26EF32CA"/>
    <w:rsid w:val="26F37CBE"/>
    <w:rsid w:val="26F954F1"/>
    <w:rsid w:val="27107BF5"/>
    <w:rsid w:val="27326E8F"/>
    <w:rsid w:val="2735468D"/>
    <w:rsid w:val="274A6662"/>
    <w:rsid w:val="27542C95"/>
    <w:rsid w:val="27570A55"/>
    <w:rsid w:val="275C2CB3"/>
    <w:rsid w:val="276A0443"/>
    <w:rsid w:val="276C1027"/>
    <w:rsid w:val="276D5CF6"/>
    <w:rsid w:val="27746913"/>
    <w:rsid w:val="2775446F"/>
    <w:rsid w:val="278B2D28"/>
    <w:rsid w:val="27947308"/>
    <w:rsid w:val="2796033D"/>
    <w:rsid w:val="27B60AFD"/>
    <w:rsid w:val="27B914E9"/>
    <w:rsid w:val="27C435E3"/>
    <w:rsid w:val="27CD2E52"/>
    <w:rsid w:val="27D47C66"/>
    <w:rsid w:val="27E74E72"/>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04070"/>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D81BE0"/>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4D1445"/>
    <w:rsid w:val="296D72E7"/>
    <w:rsid w:val="297C4F1B"/>
    <w:rsid w:val="2983526C"/>
    <w:rsid w:val="29841FF1"/>
    <w:rsid w:val="299159E7"/>
    <w:rsid w:val="299A403B"/>
    <w:rsid w:val="29BD1A42"/>
    <w:rsid w:val="29C41D64"/>
    <w:rsid w:val="29C562CC"/>
    <w:rsid w:val="29C90D98"/>
    <w:rsid w:val="29E0647F"/>
    <w:rsid w:val="29E522F6"/>
    <w:rsid w:val="29F50DAE"/>
    <w:rsid w:val="29F8715D"/>
    <w:rsid w:val="29FB3902"/>
    <w:rsid w:val="2A030B0B"/>
    <w:rsid w:val="2A0857F5"/>
    <w:rsid w:val="2A0C1ECE"/>
    <w:rsid w:val="2A0D2B92"/>
    <w:rsid w:val="2A32766A"/>
    <w:rsid w:val="2A363620"/>
    <w:rsid w:val="2A4006A0"/>
    <w:rsid w:val="2A404777"/>
    <w:rsid w:val="2A43403E"/>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8800AF"/>
    <w:rsid w:val="2A8878AB"/>
    <w:rsid w:val="2A907E32"/>
    <w:rsid w:val="2A982070"/>
    <w:rsid w:val="2A99550C"/>
    <w:rsid w:val="2A9B7B0C"/>
    <w:rsid w:val="2AA16B48"/>
    <w:rsid w:val="2AA47880"/>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61D31"/>
    <w:rsid w:val="2B5A2267"/>
    <w:rsid w:val="2B707986"/>
    <w:rsid w:val="2B714439"/>
    <w:rsid w:val="2B731A25"/>
    <w:rsid w:val="2B735A3F"/>
    <w:rsid w:val="2B8A5BE5"/>
    <w:rsid w:val="2B8B12B1"/>
    <w:rsid w:val="2B925DDA"/>
    <w:rsid w:val="2B930EF1"/>
    <w:rsid w:val="2BA323A5"/>
    <w:rsid w:val="2BA40613"/>
    <w:rsid w:val="2BA568A1"/>
    <w:rsid w:val="2BA86189"/>
    <w:rsid w:val="2BAE7AC1"/>
    <w:rsid w:val="2BB6470A"/>
    <w:rsid w:val="2BBF1E23"/>
    <w:rsid w:val="2BDB5364"/>
    <w:rsid w:val="2BEF171D"/>
    <w:rsid w:val="2BFE1E7E"/>
    <w:rsid w:val="2BFF34F5"/>
    <w:rsid w:val="2C013F39"/>
    <w:rsid w:val="2C1654C5"/>
    <w:rsid w:val="2C232156"/>
    <w:rsid w:val="2C253560"/>
    <w:rsid w:val="2C295909"/>
    <w:rsid w:val="2C334998"/>
    <w:rsid w:val="2C35122A"/>
    <w:rsid w:val="2C364299"/>
    <w:rsid w:val="2C486C9F"/>
    <w:rsid w:val="2C5437C3"/>
    <w:rsid w:val="2C594D81"/>
    <w:rsid w:val="2C5C42D2"/>
    <w:rsid w:val="2C620297"/>
    <w:rsid w:val="2C63625E"/>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EC03EE"/>
    <w:rsid w:val="2CF44B86"/>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750B4A"/>
    <w:rsid w:val="2D7751A2"/>
    <w:rsid w:val="2D8E2EA1"/>
    <w:rsid w:val="2D8F27DB"/>
    <w:rsid w:val="2D927047"/>
    <w:rsid w:val="2D966719"/>
    <w:rsid w:val="2D97240F"/>
    <w:rsid w:val="2D9904E7"/>
    <w:rsid w:val="2D9E7AAD"/>
    <w:rsid w:val="2DB40008"/>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2CF6"/>
    <w:rsid w:val="2E6E3AC1"/>
    <w:rsid w:val="2E806A22"/>
    <w:rsid w:val="2E8C2695"/>
    <w:rsid w:val="2EA45ECC"/>
    <w:rsid w:val="2EA961CA"/>
    <w:rsid w:val="2EAC7A25"/>
    <w:rsid w:val="2EB11C1F"/>
    <w:rsid w:val="2EBB7ABA"/>
    <w:rsid w:val="2EDF3CED"/>
    <w:rsid w:val="2EF9378F"/>
    <w:rsid w:val="2EFE54B1"/>
    <w:rsid w:val="2F102D49"/>
    <w:rsid w:val="2F1544E7"/>
    <w:rsid w:val="2F223112"/>
    <w:rsid w:val="2F2832E3"/>
    <w:rsid w:val="2F2A028B"/>
    <w:rsid w:val="2F2E4CD3"/>
    <w:rsid w:val="2F3C1119"/>
    <w:rsid w:val="2F3F322C"/>
    <w:rsid w:val="2F4361BA"/>
    <w:rsid w:val="2F4773C1"/>
    <w:rsid w:val="2F4C2272"/>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7490C"/>
    <w:rsid w:val="2FEB512F"/>
    <w:rsid w:val="2FF06294"/>
    <w:rsid w:val="2FF13DD5"/>
    <w:rsid w:val="2FF66C8B"/>
    <w:rsid w:val="2FF9135A"/>
    <w:rsid w:val="30121DB6"/>
    <w:rsid w:val="30194267"/>
    <w:rsid w:val="30265DB3"/>
    <w:rsid w:val="303D2A1B"/>
    <w:rsid w:val="303E2FFE"/>
    <w:rsid w:val="30423C79"/>
    <w:rsid w:val="305A2C80"/>
    <w:rsid w:val="306205C4"/>
    <w:rsid w:val="30657AE9"/>
    <w:rsid w:val="30856D7B"/>
    <w:rsid w:val="308A183B"/>
    <w:rsid w:val="308E5FDF"/>
    <w:rsid w:val="30903CF6"/>
    <w:rsid w:val="30926D0D"/>
    <w:rsid w:val="309C6DDB"/>
    <w:rsid w:val="30B31F9C"/>
    <w:rsid w:val="30B456E9"/>
    <w:rsid w:val="30B5287E"/>
    <w:rsid w:val="30B73630"/>
    <w:rsid w:val="30BC215E"/>
    <w:rsid w:val="30BE0B68"/>
    <w:rsid w:val="30F25E93"/>
    <w:rsid w:val="30F578C5"/>
    <w:rsid w:val="30F86718"/>
    <w:rsid w:val="31165C0D"/>
    <w:rsid w:val="31182199"/>
    <w:rsid w:val="31302D16"/>
    <w:rsid w:val="31392A46"/>
    <w:rsid w:val="313A0546"/>
    <w:rsid w:val="31470314"/>
    <w:rsid w:val="315C403A"/>
    <w:rsid w:val="316244B7"/>
    <w:rsid w:val="316F1595"/>
    <w:rsid w:val="31814B95"/>
    <w:rsid w:val="31854918"/>
    <w:rsid w:val="31963578"/>
    <w:rsid w:val="31A32722"/>
    <w:rsid w:val="31A91D45"/>
    <w:rsid w:val="31AC7DF1"/>
    <w:rsid w:val="31AE5339"/>
    <w:rsid w:val="31BA0E10"/>
    <w:rsid w:val="31BB2CDB"/>
    <w:rsid w:val="31CB5671"/>
    <w:rsid w:val="31CF2C3A"/>
    <w:rsid w:val="31D063CB"/>
    <w:rsid w:val="31D811C4"/>
    <w:rsid w:val="31D918C1"/>
    <w:rsid w:val="31DF7D59"/>
    <w:rsid w:val="31E352CF"/>
    <w:rsid w:val="31EC57C4"/>
    <w:rsid w:val="320E75A5"/>
    <w:rsid w:val="32186538"/>
    <w:rsid w:val="3221030E"/>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025769"/>
    <w:rsid w:val="33313D66"/>
    <w:rsid w:val="33352864"/>
    <w:rsid w:val="33397206"/>
    <w:rsid w:val="33451D77"/>
    <w:rsid w:val="33516568"/>
    <w:rsid w:val="33530865"/>
    <w:rsid w:val="33547F1F"/>
    <w:rsid w:val="33672455"/>
    <w:rsid w:val="33693088"/>
    <w:rsid w:val="337169E0"/>
    <w:rsid w:val="33796778"/>
    <w:rsid w:val="337F01D0"/>
    <w:rsid w:val="3397431E"/>
    <w:rsid w:val="339C11E1"/>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11A61"/>
    <w:rsid w:val="34964B3F"/>
    <w:rsid w:val="349D3745"/>
    <w:rsid w:val="34A64FC9"/>
    <w:rsid w:val="34B058ED"/>
    <w:rsid w:val="34B2035B"/>
    <w:rsid w:val="34BE7BE9"/>
    <w:rsid w:val="34C861DE"/>
    <w:rsid w:val="34D6792E"/>
    <w:rsid w:val="34DD7337"/>
    <w:rsid w:val="34E06A6B"/>
    <w:rsid w:val="34E31BF4"/>
    <w:rsid w:val="34EA0F65"/>
    <w:rsid w:val="34F2011B"/>
    <w:rsid w:val="34F73B82"/>
    <w:rsid w:val="35027E6B"/>
    <w:rsid w:val="350826B6"/>
    <w:rsid w:val="35151E73"/>
    <w:rsid w:val="351B5AFA"/>
    <w:rsid w:val="351D7160"/>
    <w:rsid w:val="351E408A"/>
    <w:rsid w:val="35436A96"/>
    <w:rsid w:val="3544100D"/>
    <w:rsid w:val="355015DA"/>
    <w:rsid w:val="35552B7D"/>
    <w:rsid w:val="35560A7E"/>
    <w:rsid w:val="35623A85"/>
    <w:rsid w:val="35666732"/>
    <w:rsid w:val="35683ADC"/>
    <w:rsid w:val="35686898"/>
    <w:rsid w:val="356A5601"/>
    <w:rsid w:val="35771DA0"/>
    <w:rsid w:val="358210F2"/>
    <w:rsid w:val="358A3815"/>
    <w:rsid w:val="358B13EB"/>
    <w:rsid w:val="359962FA"/>
    <w:rsid w:val="359F16E4"/>
    <w:rsid w:val="35A070D0"/>
    <w:rsid w:val="35A62EC1"/>
    <w:rsid w:val="35B749D9"/>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B13E8"/>
    <w:rsid w:val="36DD19D5"/>
    <w:rsid w:val="36DF0DCF"/>
    <w:rsid w:val="36E71C00"/>
    <w:rsid w:val="36E86D31"/>
    <w:rsid w:val="37206A20"/>
    <w:rsid w:val="372C5FF1"/>
    <w:rsid w:val="372D0DBF"/>
    <w:rsid w:val="372F1B40"/>
    <w:rsid w:val="372F3FF9"/>
    <w:rsid w:val="373129EF"/>
    <w:rsid w:val="373A3D76"/>
    <w:rsid w:val="374B3050"/>
    <w:rsid w:val="374D3FDB"/>
    <w:rsid w:val="3754377B"/>
    <w:rsid w:val="376755B7"/>
    <w:rsid w:val="376D73D3"/>
    <w:rsid w:val="377D0197"/>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2EAB"/>
    <w:rsid w:val="38630B60"/>
    <w:rsid w:val="386B0ED9"/>
    <w:rsid w:val="387409B9"/>
    <w:rsid w:val="387D29BE"/>
    <w:rsid w:val="38837E13"/>
    <w:rsid w:val="38851408"/>
    <w:rsid w:val="38862BA8"/>
    <w:rsid w:val="388C5F8D"/>
    <w:rsid w:val="388D5182"/>
    <w:rsid w:val="38945C70"/>
    <w:rsid w:val="38A05A0D"/>
    <w:rsid w:val="38A968C8"/>
    <w:rsid w:val="38AB19DA"/>
    <w:rsid w:val="38B96453"/>
    <w:rsid w:val="38C37207"/>
    <w:rsid w:val="38C84A2C"/>
    <w:rsid w:val="38D27E22"/>
    <w:rsid w:val="38F05821"/>
    <w:rsid w:val="38F65986"/>
    <w:rsid w:val="39037914"/>
    <w:rsid w:val="390A3D17"/>
    <w:rsid w:val="3911733D"/>
    <w:rsid w:val="39197EF7"/>
    <w:rsid w:val="39267A2B"/>
    <w:rsid w:val="393B6A45"/>
    <w:rsid w:val="3957061E"/>
    <w:rsid w:val="396A5805"/>
    <w:rsid w:val="397D09C0"/>
    <w:rsid w:val="39882EE2"/>
    <w:rsid w:val="39884C68"/>
    <w:rsid w:val="399476E9"/>
    <w:rsid w:val="39AA29DA"/>
    <w:rsid w:val="39B50F31"/>
    <w:rsid w:val="39C84667"/>
    <w:rsid w:val="39CA73AF"/>
    <w:rsid w:val="39E530A4"/>
    <w:rsid w:val="39EE3601"/>
    <w:rsid w:val="39FF6602"/>
    <w:rsid w:val="3A033721"/>
    <w:rsid w:val="3A047EE6"/>
    <w:rsid w:val="3A0731EC"/>
    <w:rsid w:val="3A096404"/>
    <w:rsid w:val="3A15267E"/>
    <w:rsid w:val="3A18263D"/>
    <w:rsid w:val="3A2549CE"/>
    <w:rsid w:val="3A323E9A"/>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96C25"/>
    <w:rsid w:val="3B0F1B0C"/>
    <w:rsid w:val="3B16341F"/>
    <w:rsid w:val="3B247D05"/>
    <w:rsid w:val="3B2D796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0E7FAE"/>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BB3335"/>
    <w:rsid w:val="3CC21E8B"/>
    <w:rsid w:val="3CC258D5"/>
    <w:rsid w:val="3CD30C12"/>
    <w:rsid w:val="3CDC1F42"/>
    <w:rsid w:val="3CF11106"/>
    <w:rsid w:val="3CF1460B"/>
    <w:rsid w:val="3CFE7137"/>
    <w:rsid w:val="3CFF5FCC"/>
    <w:rsid w:val="3D1A706D"/>
    <w:rsid w:val="3D1E69C8"/>
    <w:rsid w:val="3D216871"/>
    <w:rsid w:val="3D244471"/>
    <w:rsid w:val="3D346B38"/>
    <w:rsid w:val="3D4C08A0"/>
    <w:rsid w:val="3D4D4F31"/>
    <w:rsid w:val="3D5305FD"/>
    <w:rsid w:val="3D5828B6"/>
    <w:rsid w:val="3D5B4F5D"/>
    <w:rsid w:val="3D5F34BD"/>
    <w:rsid w:val="3D752505"/>
    <w:rsid w:val="3D7A5575"/>
    <w:rsid w:val="3D7D0F46"/>
    <w:rsid w:val="3D8370EF"/>
    <w:rsid w:val="3D87456C"/>
    <w:rsid w:val="3D916D86"/>
    <w:rsid w:val="3D9210C1"/>
    <w:rsid w:val="3D9901D9"/>
    <w:rsid w:val="3D9A6A88"/>
    <w:rsid w:val="3D9C583A"/>
    <w:rsid w:val="3D9E378A"/>
    <w:rsid w:val="3DA1312A"/>
    <w:rsid w:val="3DB66C9C"/>
    <w:rsid w:val="3DB740CD"/>
    <w:rsid w:val="3DC60812"/>
    <w:rsid w:val="3DCB6E52"/>
    <w:rsid w:val="3DCF4766"/>
    <w:rsid w:val="3DD03022"/>
    <w:rsid w:val="3DE5229E"/>
    <w:rsid w:val="3DEB027D"/>
    <w:rsid w:val="3E041EEC"/>
    <w:rsid w:val="3E051F58"/>
    <w:rsid w:val="3E066FA9"/>
    <w:rsid w:val="3E151359"/>
    <w:rsid w:val="3E151F4C"/>
    <w:rsid w:val="3E2C49F5"/>
    <w:rsid w:val="3E3300CE"/>
    <w:rsid w:val="3E552FB8"/>
    <w:rsid w:val="3E5802C6"/>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D21CDE"/>
    <w:rsid w:val="3EE16478"/>
    <w:rsid w:val="3EF2130E"/>
    <w:rsid w:val="3F0E4AA7"/>
    <w:rsid w:val="3F125ABF"/>
    <w:rsid w:val="3F1744A9"/>
    <w:rsid w:val="3F193BE6"/>
    <w:rsid w:val="3F1D1FCC"/>
    <w:rsid w:val="3F23345D"/>
    <w:rsid w:val="3F2A5787"/>
    <w:rsid w:val="3F322E39"/>
    <w:rsid w:val="3F3365BB"/>
    <w:rsid w:val="3F397A5B"/>
    <w:rsid w:val="3F3C59F7"/>
    <w:rsid w:val="3F426AC3"/>
    <w:rsid w:val="3F444F2D"/>
    <w:rsid w:val="3F4D3AF7"/>
    <w:rsid w:val="3F547D51"/>
    <w:rsid w:val="3F68666F"/>
    <w:rsid w:val="3F722647"/>
    <w:rsid w:val="3F7A2C0E"/>
    <w:rsid w:val="3F81669F"/>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405B2"/>
    <w:rsid w:val="40AA54F1"/>
    <w:rsid w:val="40CC1C7A"/>
    <w:rsid w:val="40DA6699"/>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26FD6"/>
    <w:rsid w:val="418F3709"/>
    <w:rsid w:val="419E41FD"/>
    <w:rsid w:val="41A6561A"/>
    <w:rsid w:val="41AD068C"/>
    <w:rsid w:val="41BC51E7"/>
    <w:rsid w:val="41C1720A"/>
    <w:rsid w:val="41C807B8"/>
    <w:rsid w:val="41D35005"/>
    <w:rsid w:val="41DA7F1B"/>
    <w:rsid w:val="41E310E9"/>
    <w:rsid w:val="41EC244C"/>
    <w:rsid w:val="42115916"/>
    <w:rsid w:val="4222777A"/>
    <w:rsid w:val="422A609D"/>
    <w:rsid w:val="422C0B6F"/>
    <w:rsid w:val="424F7E66"/>
    <w:rsid w:val="42704237"/>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A77D6"/>
    <w:rsid w:val="433C0AD9"/>
    <w:rsid w:val="43533E30"/>
    <w:rsid w:val="435C2DD4"/>
    <w:rsid w:val="43606EE8"/>
    <w:rsid w:val="436D6C7E"/>
    <w:rsid w:val="43825E8E"/>
    <w:rsid w:val="438C60C3"/>
    <w:rsid w:val="43B67D40"/>
    <w:rsid w:val="43C90ABC"/>
    <w:rsid w:val="43CF54FB"/>
    <w:rsid w:val="43D60F59"/>
    <w:rsid w:val="43D6358D"/>
    <w:rsid w:val="43E61AF4"/>
    <w:rsid w:val="43EA6FF8"/>
    <w:rsid w:val="43FA1F0F"/>
    <w:rsid w:val="440313A1"/>
    <w:rsid w:val="44083C52"/>
    <w:rsid w:val="440B5E9D"/>
    <w:rsid w:val="44154F1C"/>
    <w:rsid w:val="44160887"/>
    <w:rsid w:val="441B1DA2"/>
    <w:rsid w:val="441C02A4"/>
    <w:rsid w:val="441E66BB"/>
    <w:rsid w:val="44290F04"/>
    <w:rsid w:val="44387B6B"/>
    <w:rsid w:val="44396033"/>
    <w:rsid w:val="444168F4"/>
    <w:rsid w:val="4445371E"/>
    <w:rsid w:val="444C5227"/>
    <w:rsid w:val="444F4CC5"/>
    <w:rsid w:val="44723E90"/>
    <w:rsid w:val="44905E4F"/>
    <w:rsid w:val="449307DD"/>
    <w:rsid w:val="449924D3"/>
    <w:rsid w:val="449C324D"/>
    <w:rsid w:val="44AE2C64"/>
    <w:rsid w:val="44B25954"/>
    <w:rsid w:val="44B571A3"/>
    <w:rsid w:val="44B578AF"/>
    <w:rsid w:val="44BB5881"/>
    <w:rsid w:val="44BF3C17"/>
    <w:rsid w:val="44C2475D"/>
    <w:rsid w:val="44C4105B"/>
    <w:rsid w:val="44C52BC8"/>
    <w:rsid w:val="44C70D28"/>
    <w:rsid w:val="44C842F8"/>
    <w:rsid w:val="44DD58AE"/>
    <w:rsid w:val="44E43637"/>
    <w:rsid w:val="44EE5D75"/>
    <w:rsid w:val="44F2491C"/>
    <w:rsid w:val="44F50EE8"/>
    <w:rsid w:val="44F64EB1"/>
    <w:rsid w:val="45057185"/>
    <w:rsid w:val="45157910"/>
    <w:rsid w:val="451B4B19"/>
    <w:rsid w:val="451B643C"/>
    <w:rsid w:val="453452FE"/>
    <w:rsid w:val="45400BC0"/>
    <w:rsid w:val="45586BC9"/>
    <w:rsid w:val="455C4C80"/>
    <w:rsid w:val="455D4229"/>
    <w:rsid w:val="45617F43"/>
    <w:rsid w:val="45675C27"/>
    <w:rsid w:val="4572498F"/>
    <w:rsid w:val="458469DB"/>
    <w:rsid w:val="45863114"/>
    <w:rsid w:val="45871207"/>
    <w:rsid w:val="459D3251"/>
    <w:rsid w:val="459F5548"/>
    <w:rsid w:val="45A1725C"/>
    <w:rsid w:val="45A34A00"/>
    <w:rsid w:val="45B33A3B"/>
    <w:rsid w:val="45B45F44"/>
    <w:rsid w:val="45C20D69"/>
    <w:rsid w:val="45D077D4"/>
    <w:rsid w:val="45DE6754"/>
    <w:rsid w:val="45EF1E60"/>
    <w:rsid w:val="45F877F1"/>
    <w:rsid w:val="46043836"/>
    <w:rsid w:val="46163A58"/>
    <w:rsid w:val="461C30A3"/>
    <w:rsid w:val="461F2208"/>
    <w:rsid w:val="463416CE"/>
    <w:rsid w:val="4638223A"/>
    <w:rsid w:val="4641025F"/>
    <w:rsid w:val="464B7611"/>
    <w:rsid w:val="466242E9"/>
    <w:rsid w:val="466E0F0B"/>
    <w:rsid w:val="4673382E"/>
    <w:rsid w:val="4675674D"/>
    <w:rsid w:val="46785C4A"/>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44056"/>
    <w:rsid w:val="471911A4"/>
    <w:rsid w:val="471E3E36"/>
    <w:rsid w:val="472505FE"/>
    <w:rsid w:val="47397A2F"/>
    <w:rsid w:val="473C7D38"/>
    <w:rsid w:val="47453296"/>
    <w:rsid w:val="474642EB"/>
    <w:rsid w:val="47464FC4"/>
    <w:rsid w:val="474C1532"/>
    <w:rsid w:val="47514AB0"/>
    <w:rsid w:val="4751578B"/>
    <w:rsid w:val="47561544"/>
    <w:rsid w:val="476025BF"/>
    <w:rsid w:val="47667359"/>
    <w:rsid w:val="47692A32"/>
    <w:rsid w:val="476F7EEF"/>
    <w:rsid w:val="477E5C97"/>
    <w:rsid w:val="477E7524"/>
    <w:rsid w:val="47833A3E"/>
    <w:rsid w:val="4786400A"/>
    <w:rsid w:val="479575C4"/>
    <w:rsid w:val="479A3DE3"/>
    <w:rsid w:val="479F616E"/>
    <w:rsid w:val="47AB5020"/>
    <w:rsid w:val="47C01F75"/>
    <w:rsid w:val="47C35968"/>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95F8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56BD9"/>
    <w:rsid w:val="492C6E96"/>
    <w:rsid w:val="493779BE"/>
    <w:rsid w:val="493F499D"/>
    <w:rsid w:val="494139AE"/>
    <w:rsid w:val="494E7EAB"/>
    <w:rsid w:val="49597EFF"/>
    <w:rsid w:val="49622818"/>
    <w:rsid w:val="49657721"/>
    <w:rsid w:val="49683F5D"/>
    <w:rsid w:val="49754FF1"/>
    <w:rsid w:val="49825CBE"/>
    <w:rsid w:val="49A67A57"/>
    <w:rsid w:val="49AD250C"/>
    <w:rsid w:val="49B839C4"/>
    <w:rsid w:val="49C378CF"/>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327732"/>
    <w:rsid w:val="4B401327"/>
    <w:rsid w:val="4B551754"/>
    <w:rsid w:val="4B5A73D8"/>
    <w:rsid w:val="4B5B2881"/>
    <w:rsid w:val="4B6071FD"/>
    <w:rsid w:val="4B6842EC"/>
    <w:rsid w:val="4B8B3A50"/>
    <w:rsid w:val="4B90225B"/>
    <w:rsid w:val="4B911420"/>
    <w:rsid w:val="4B914690"/>
    <w:rsid w:val="4B967ECC"/>
    <w:rsid w:val="4B9801F4"/>
    <w:rsid w:val="4BAA574F"/>
    <w:rsid w:val="4BAB1B30"/>
    <w:rsid w:val="4BD70D0D"/>
    <w:rsid w:val="4BE13AD3"/>
    <w:rsid w:val="4BE55BB9"/>
    <w:rsid w:val="4BE67B92"/>
    <w:rsid w:val="4BE75CB2"/>
    <w:rsid w:val="4BEE16DF"/>
    <w:rsid w:val="4C0F5E43"/>
    <w:rsid w:val="4C23594D"/>
    <w:rsid w:val="4C2941CA"/>
    <w:rsid w:val="4C2E7524"/>
    <w:rsid w:val="4C380520"/>
    <w:rsid w:val="4C3979DB"/>
    <w:rsid w:val="4C3D2514"/>
    <w:rsid w:val="4C3E0FF7"/>
    <w:rsid w:val="4C4128E4"/>
    <w:rsid w:val="4C642696"/>
    <w:rsid w:val="4C6B0DB3"/>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3071CD"/>
    <w:rsid w:val="4D463441"/>
    <w:rsid w:val="4D6837B8"/>
    <w:rsid w:val="4D6A0811"/>
    <w:rsid w:val="4D6F6F69"/>
    <w:rsid w:val="4D776DC3"/>
    <w:rsid w:val="4D8710CE"/>
    <w:rsid w:val="4D877D93"/>
    <w:rsid w:val="4D905912"/>
    <w:rsid w:val="4D9159F5"/>
    <w:rsid w:val="4D96605A"/>
    <w:rsid w:val="4D98115A"/>
    <w:rsid w:val="4DA01148"/>
    <w:rsid w:val="4DCD73A9"/>
    <w:rsid w:val="4DDE509A"/>
    <w:rsid w:val="4DE74431"/>
    <w:rsid w:val="4DF21DFB"/>
    <w:rsid w:val="4DFC60FF"/>
    <w:rsid w:val="4DFD3850"/>
    <w:rsid w:val="4E066479"/>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143CE"/>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881127"/>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564035"/>
    <w:rsid w:val="50576974"/>
    <w:rsid w:val="50666389"/>
    <w:rsid w:val="50736D9F"/>
    <w:rsid w:val="509A6650"/>
    <w:rsid w:val="50B14CA7"/>
    <w:rsid w:val="50B42C92"/>
    <w:rsid w:val="50C46433"/>
    <w:rsid w:val="50CA02C2"/>
    <w:rsid w:val="50DD7C7C"/>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37DB5"/>
    <w:rsid w:val="519705C8"/>
    <w:rsid w:val="519B3A9C"/>
    <w:rsid w:val="51B33439"/>
    <w:rsid w:val="51B3391D"/>
    <w:rsid w:val="51B9217D"/>
    <w:rsid w:val="51BD3E01"/>
    <w:rsid w:val="51C93757"/>
    <w:rsid w:val="51CB7231"/>
    <w:rsid w:val="51DE6A73"/>
    <w:rsid w:val="51F326E7"/>
    <w:rsid w:val="51FF7474"/>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C65D4"/>
    <w:rsid w:val="53121C1D"/>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AC3EA6"/>
    <w:rsid w:val="53B37E37"/>
    <w:rsid w:val="53C20ED8"/>
    <w:rsid w:val="53C548B5"/>
    <w:rsid w:val="53C87335"/>
    <w:rsid w:val="53D25C65"/>
    <w:rsid w:val="53EF6E85"/>
    <w:rsid w:val="53F050F7"/>
    <w:rsid w:val="53FD74A7"/>
    <w:rsid w:val="54026475"/>
    <w:rsid w:val="540D2DB1"/>
    <w:rsid w:val="54113405"/>
    <w:rsid w:val="54265DCC"/>
    <w:rsid w:val="544356FD"/>
    <w:rsid w:val="54544275"/>
    <w:rsid w:val="54564BA3"/>
    <w:rsid w:val="545A23E4"/>
    <w:rsid w:val="545D2A76"/>
    <w:rsid w:val="547C69F2"/>
    <w:rsid w:val="548352CB"/>
    <w:rsid w:val="54876487"/>
    <w:rsid w:val="548B782B"/>
    <w:rsid w:val="548B79F3"/>
    <w:rsid w:val="54900F96"/>
    <w:rsid w:val="54990495"/>
    <w:rsid w:val="549A2828"/>
    <w:rsid w:val="54A12B05"/>
    <w:rsid w:val="54AE498A"/>
    <w:rsid w:val="54D509EC"/>
    <w:rsid w:val="54D73DC0"/>
    <w:rsid w:val="54D94CB6"/>
    <w:rsid w:val="550353C5"/>
    <w:rsid w:val="55093E22"/>
    <w:rsid w:val="550E4CE6"/>
    <w:rsid w:val="551701B1"/>
    <w:rsid w:val="553266E7"/>
    <w:rsid w:val="553413DD"/>
    <w:rsid w:val="55367F4D"/>
    <w:rsid w:val="553A13A9"/>
    <w:rsid w:val="553D0E0B"/>
    <w:rsid w:val="55440B0E"/>
    <w:rsid w:val="55494A31"/>
    <w:rsid w:val="554B1F27"/>
    <w:rsid w:val="55553813"/>
    <w:rsid w:val="555E3DE6"/>
    <w:rsid w:val="55794F8B"/>
    <w:rsid w:val="557B4C8B"/>
    <w:rsid w:val="55832F33"/>
    <w:rsid w:val="558A5F58"/>
    <w:rsid w:val="558D782E"/>
    <w:rsid w:val="558F42FA"/>
    <w:rsid w:val="55951C70"/>
    <w:rsid w:val="55BB4B52"/>
    <w:rsid w:val="55CA34C8"/>
    <w:rsid w:val="55CB1CAC"/>
    <w:rsid w:val="55D11067"/>
    <w:rsid w:val="55D15F89"/>
    <w:rsid w:val="55D24E7E"/>
    <w:rsid w:val="55E14A43"/>
    <w:rsid w:val="55E41E86"/>
    <w:rsid w:val="55EA6D1D"/>
    <w:rsid w:val="55EE45E5"/>
    <w:rsid w:val="55FE6BE4"/>
    <w:rsid w:val="56053523"/>
    <w:rsid w:val="560839E5"/>
    <w:rsid w:val="560859E5"/>
    <w:rsid w:val="560A2D1E"/>
    <w:rsid w:val="56211BC6"/>
    <w:rsid w:val="56597936"/>
    <w:rsid w:val="565A3745"/>
    <w:rsid w:val="56674043"/>
    <w:rsid w:val="566A4A9E"/>
    <w:rsid w:val="56890707"/>
    <w:rsid w:val="5694199B"/>
    <w:rsid w:val="569978D8"/>
    <w:rsid w:val="56A010CA"/>
    <w:rsid w:val="56A8433D"/>
    <w:rsid w:val="56B50793"/>
    <w:rsid w:val="56D87655"/>
    <w:rsid w:val="56DA3AE3"/>
    <w:rsid w:val="56DC7D13"/>
    <w:rsid w:val="56DD7F29"/>
    <w:rsid w:val="56DF393F"/>
    <w:rsid w:val="56E82126"/>
    <w:rsid w:val="56F267E1"/>
    <w:rsid w:val="56F54041"/>
    <w:rsid w:val="56F57B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AC009F"/>
    <w:rsid w:val="57B377B9"/>
    <w:rsid w:val="57BA40E0"/>
    <w:rsid w:val="57C05330"/>
    <w:rsid w:val="57E46B48"/>
    <w:rsid w:val="57E47536"/>
    <w:rsid w:val="57F86A47"/>
    <w:rsid w:val="5801289D"/>
    <w:rsid w:val="58033F83"/>
    <w:rsid w:val="58034FDF"/>
    <w:rsid w:val="58051F1B"/>
    <w:rsid w:val="58073C4E"/>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8F2A2E"/>
    <w:rsid w:val="58957BD9"/>
    <w:rsid w:val="589C7931"/>
    <w:rsid w:val="58A03185"/>
    <w:rsid w:val="58A04280"/>
    <w:rsid w:val="58A74E2C"/>
    <w:rsid w:val="58AF1421"/>
    <w:rsid w:val="58B50A9E"/>
    <w:rsid w:val="58B54357"/>
    <w:rsid w:val="58B67D21"/>
    <w:rsid w:val="58C213D0"/>
    <w:rsid w:val="58CA2633"/>
    <w:rsid w:val="58D108AB"/>
    <w:rsid w:val="58E849A9"/>
    <w:rsid w:val="58E92A2F"/>
    <w:rsid w:val="58F14B54"/>
    <w:rsid w:val="58F4003D"/>
    <w:rsid w:val="590848BC"/>
    <w:rsid w:val="5917423E"/>
    <w:rsid w:val="59207C87"/>
    <w:rsid w:val="593B0E3D"/>
    <w:rsid w:val="594C374D"/>
    <w:rsid w:val="59523F34"/>
    <w:rsid w:val="59565A07"/>
    <w:rsid w:val="595912C2"/>
    <w:rsid w:val="59763381"/>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3487"/>
    <w:rsid w:val="5A2F6ABD"/>
    <w:rsid w:val="5A415650"/>
    <w:rsid w:val="5A5105C3"/>
    <w:rsid w:val="5A58463C"/>
    <w:rsid w:val="5A5925FE"/>
    <w:rsid w:val="5A5A54FE"/>
    <w:rsid w:val="5A70416F"/>
    <w:rsid w:val="5A751708"/>
    <w:rsid w:val="5A8654CC"/>
    <w:rsid w:val="5A8D164F"/>
    <w:rsid w:val="5A945C46"/>
    <w:rsid w:val="5A9C0C56"/>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016A0"/>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74CC5"/>
    <w:rsid w:val="5C69733D"/>
    <w:rsid w:val="5C74658F"/>
    <w:rsid w:val="5C831D8A"/>
    <w:rsid w:val="5C8C7C44"/>
    <w:rsid w:val="5C987128"/>
    <w:rsid w:val="5C9A36E7"/>
    <w:rsid w:val="5CAB4B60"/>
    <w:rsid w:val="5CB53E2B"/>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C96BD3"/>
    <w:rsid w:val="5DDD46EF"/>
    <w:rsid w:val="5DF242AA"/>
    <w:rsid w:val="5DF27D5A"/>
    <w:rsid w:val="5DF90388"/>
    <w:rsid w:val="5E040059"/>
    <w:rsid w:val="5E084C7B"/>
    <w:rsid w:val="5E0914A4"/>
    <w:rsid w:val="5E1844B1"/>
    <w:rsid w:val="5E1F00DC"/>
    <w:rsid w:val="5E2349C0"/>
    <w:rsid w:val="5E2365DE"/>
    <w:rsid w:val="5E250B5E"/>
    <w:rsid w:val="5E325F47"/>
    <w:rsid w:val="5E3C6C0B"/>
    <w:rsid w:val="5E3F4424"/>
    <w:rsid w:val="5E433908"/>
    <w:rsid w:val="5E506258"/>
    <w:rsid w:val="5E596E47"/>
    <w:rsid w:val="5E640B4C"/>
    <w:rsid w:val="5E7163DD"/>
    <w:rsid w:val="5E721515"/>
    <w:rsid w:val="5E8421F4"/>
    <w:rsid w:val="5E857C28"/>
    <w:rsid w:val="5E922AF4"/>
    <w:rsid w:val="5E943315"/>
    <w:rsid w:val="5E99403E"/>
    <w:rsid w:val="5EA23BEF"/>
    <w:rsid w:val="5EAA3A08"/>
    <w:rsid w:val="5EAA45C2"/>
    <w:rsid w:val="5EAB7374"/>
    <w:rsid w:val="5EB5647F"/>
    <w:rsid w:val="5ECA27B9"/>
    <w:rsid w:val="5ECB7BF2"/>
    <w:rsid w:val="5EE969C3"/>
    <w:rsid w:val="5EF24373"/>
    <w:rsid w:val="5EF30AE7"/>
    <w:rsid w:val="5EF775EB"/>
    <w:rsid w:val="5F123402"/>
    <w:rsid w:val="5F15489F"/>
    <w:rsid w:val="5F160E8A"/>
    <w:rsid w:val="5F1B18E3"/>
    <w:rsid w:val="5F1B6750"/>
    <w:rsid w:val="5F1F1666"/>
    <w:rsid w:val="5F2E502C"/>
    <w:rsid w:val="5F385DE1"/>
    <w:rsid w:val="5F3F41A6"/>
    <w:rsid w:val="5F416DDD"/>
    <w:rsid w:val="5F4824B4"/>
    <w:rsid w:val="5F5F2A5D"/>
    <w:rsid w:val="5F6A70E7"/>
    <w:rsid w:val="5F7413ED"/>
    <w:rsid w:val="5F74277E"/>
    <w:rsid w:val="5F771E2C"/>
    <w:rsid w:val="5F817E11"/>
    <w:rsid w:val="5F916B4B"/>
    <w:rsid w:val="5F9C1A78"/>
    <w:rsid w:val="5FA76A91"/>
    <w:rsid w:val="5FAC4AED"/>
    <w:rsid w:val="5FC57C91"/>
    <w:rsid w:val="5FCE245F"/>
    <w:rsid w:val="5FD32219"/>
    <w:rsid w:val="5FDC1B9B"/>
    <w:rsid w:val="5FF50B7C"/>
    <w:rsid w:val="5FF74A8C"/>
    <w:rsid w:val="5FFB1252"/>
    <w:rsid w:val="60072412"/>
    <w:rsid w:val="60130301"/>
    <w:rsid w:val="60196F3A"/>
    <w:rsid w:val="603043EF"/>
    <w:rsid w:val="604D59E9"/>
    <w:rsid w:val="6053446B"/>
    <w:rsid w:val="606821BD"/>
    <w:rsid w:val="60696099"/>
    <w:rsid w:val="60830074"/>
    <w:rsid w:val="60870B21"/>
    <w:rsid w:val="608E350A"/>
    <w:rsid w:val="6095223F"/>
    <w:rsid w:val="60A869EE"/>
    <w:rsid w:val="60AA0843"/>
    <w:rsid w:val="60AC0C65"/>
    <w:rsid w:val="60AF3BE9"/>
    <w:rsid w:val="60B751F5"/>
    <w:rsid w:val="60B805D8"/>
    <w:rsid w:val="60D33850"/>
    <w:rsid w:val="60D770B3"/>
    <w:rsid w:val="60DB526D"/>
    <w:rsid w:val="60DD07BF"/>
    <w:rsid w:val="60E9103E"/>
    <w:rsid w:val="610526AE"/>
    <w:rsid w:val="610C1445"/>
    <w:rsid w:val="611E245A"/>
    <w:rsid w:val="613D1452"/>
    <w:rsid w:val="6143603C"/>
    <w:rsid w:val="61545B6D"/>
    <w:rsid w:val="615574E5"/>
    <w:rsid w:val="616C773E"/>
    <w:rsid w:val="61763288"/>
    <w:rsid w:val="61945CD8"/>
    <w:rsid w:val="61981920"/>
    <w:rsid w:val="619C2C2B"/>
    <w:rsid w:val="61A335E1"/>
    <w:rsid w:val="61A359FF"/>
    <w:rsid w:val="61B80969"/>
    <w:rsid w:val="61BD00F1"/>
    <w:rsid w:val="61C02FF5"/>
    <w:rsid w:val="61D524C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748B2"/>
    <w:rsid w:val="62EA423D"/>
    <w:rsid w:val="630031BE"/>
    <w:rsid w:val="6301168A"/>
    <w:rsid w:val="630E78F0"/>
    <w:rsid w:val="63103FC7"/>
    <w:rsid w:val="63160CAE"/>
    <w:rsid w:val="631652DA"/>
    <w:rsid w:val="631D3111"/>
    <w:rsid w:val="63204A36"/>
    <w:rsid w:val="63250A4F"/>
    <w:rsid w:val="63283C61"/>
    <w:rsid w:val="632C1064"/>
    <w:rsid w:val="632E1C39"/>
    <w:rsid w:val="633B5E70"/>
    <w:rsid w:val="63464725"/>
    <w:rsid w:val="634C0B6A"/>
    <w:rsid w:val="635342C2"/>
    <w:rsid w:val="635B4F0A"/>
    <w:rsid w:val="6361690C"/>
    <w:rsid w:val="636D152D"/>
    <w:rsid w:val="63727389"/>
    <w:rsid w:val="63733461"/>
    <w:rsid w:val="63740D84"/>
    <w:rsid w:val="637E3BE7"/>
    <w:rsid w:val="63850E8E"/>
    <w:rsid w:val="63882CEE"/>
    <w:rsid w:val="638C4CDE"/>
    <w:rsid w:val="63905FCF"/>
    <w:rsid w:val="63A20961"/>
    <w:rsid w:val="63A20A78"/>
    <w:rsid w:val="63A853FB"/>
    <w:rsid w:val="63B0677C"/>
    <w:rsid w:val="63C75B92"/>
    <w:rsid w:val="63CA29B9"/>
    <w:rsid w:val="63CF1D1A"/>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366BE6"/>
    <w:rsid w:val="64410116"/>
    <w:rsid w:val="64412FC5"/>
    <w:rsid w:val="6443050D"/>
    <w:rsid w:val="644A77C2"/>
    <w:rsid w:val="646A5428"/>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3033DC"/>
    <w:rsid w:val="65327258"/>
    <w:rsid w:val="6539735F"/>
    <w:rsid w:val="653F00AD"/>
    <w:rsid w:val="65544D25"/>
    <w:rsid w:val="65591B59"/>
    <w:rsid w:val="655C6CD3"/>
    <w:rsid w:val="6566344B"/>
    <w:rsid w:val="656A573C"/>
    <w:rsid w:val="65763127"/>
    <w:rsid w:val="65886A1A"/>
    <w:rsid w:val="65893ACB"/>
    <w:rsid w:val="65905186"/>
    <w:rsid w:val="65937E61"/>
    <w:rsid w:val="659E6DB8"/>
    <w:rsid w:val="65A35E61"/>
    <w:rsid w:val="65A62DB8"/>
    <w:rsid w:val="65AE3C6C"/>
    <w:rsid w:val="65B12C47"/>
    <w:rsid w:val="65B22CB3"/>
    <w:rsid w:val="65B867AF"/>
    <w:rsid w:val="65BB367F"/>
    <w:rsid w:val="65CA48D5"/>
    <w:rsid w:val="65DA1825"/>
    <w:rsid w:val="65DC577D"/>
    <w:rsid w:val="65E55DC7"/>
    <w:rsid w:val="660518AD"/>
    <w:rsid w:val="66112D35"/>
    <w:rsid w:val="662249C7"/>
    <w:rsid w:val="662B2D25"/>
    <w:rsid w:val="662E458E"/>
    <w:rsid w:val="664F1459"/>
    <w:rsid w:val="6660751B"/>
    <w:rsid w:val="666E3BFB"/>
    <w:rsid w:val="66843C27"/>
    <w:rsid w:val="668A358B"/>
    <w:rsid w:val="66A22294"/>
    <w:rsid w:val="66B167D9"/>
    <w:rsid w:val="66B718F6"/>
    <w:rsid w:val="66B77C96"/>
    <w:rsid w:val="66BE6804"/>
    <w:rsid w:val="66C6028C"/>
    <w:rsid w:val="66F35B25"/>
    <w:rsid w:val="66FD34E6"/>
    <w:rsid w:val="66FE30D6"/>
    <w:rsid w:val="67087440"/>
    <w:rsid w:val="670B02A7"/>
    <w:rsid w:val="671A5340"/>
    <w:rsid w:val="671B2EF2"/>
    <w:rsid w:val="6732010A"/>
    <w:rsid w:val="6733716B"/>
    <w:rsid w:val="67396278"/>
    <w:rsid w:val="673D4EA5"/>
    <w:rsid w:val="674D7E5D"/>
    <w:rsid w:val="675B6F05"/>
    <w:rsid w:val="675F10E8"/>
    <w:rsid w:val="67665265"/>
    <w:rsid w:val="67721F8C"/>
    <w:rsid w:val="677A3AA5"/>
    <w:rsid w:val="677C0BF7"/>
    <w:rsid w:val="677D2510"/>
    <w:rsid w:val="677E2968"/>
    <w:rsid w:val="6793286F"/>
    <w:rsid w:val="67997714"/>
    <w:rsid w:val="679E7A1F"/>
    <w:rsid w:val="67A331B6"/>
    <w:rsid w:val="67AF466A"/>
    <w:rsid w:val="67B36D91"/>
    <w:rsid w:val="67B748D5"/>
    <w:rsid w:val="67CD4770"/>
    <w:rsid w:val="67DF5131"/>
    <w:rsid w:val="67E0527D"/>
    <w:rsid w:val="67E31422"/>
    <w:rsid w:val="67EA4D75"/>
    <w:rsid w:val="67F50316"/>
    <w:rsid w:val="67F8136D"/>
    <w:rsid w:val="6801319B"/>
    <w:rsid w:val="68014799"/>
    <w:rsid w:val="680B3317"/>
    <w:rsid w:val="682C3322"/>
    <w:rsid w:val="683F785C"/>
    <w:rsid w:val="68402070"/>
    <w:rsid w:val="68570DC2"/>
    <w:rsid w:val="685A0C49"/>
    <w:rsid w:val="6865768E"/>
    <w:rsid w:val="6868422B"/>
    <w:rsid w:val="68756660"/>
    <w:rsid w:val="687B65AE"/>
    <w:rsid w:val="68847A53"/>
    <w:rsid w:val="68910854"/>
    <w:rsid w:val="68A208F6"/>
    <w:rsid w:val="68A864AF"/>
    <w:rsid w:val="68FE79AF"/>
    <w:rsid w:val="69012993"/>
    <w:rsid w:val="690220BD"/>
    <w:rsid w:val="69030DDF"/>
    <w:rsid w:val="690A5CCE"/>
    <w:rsid w:val="690F21B9"/>
    <w:rsid w:val="6912744C"/>
    <w:rsid w:val="69187AE4"/>
    <w:rsid w:val="691B76DD"/>
    <w:rsid w:val="69273460"/>
    <w:rsid w:val="69336BFC"/>
    <w:rsid w:val="69375E9A"/>
    <w:rsid w:val="693F7AD5"/>
    <w:rsid w:val="694F15B3"/>
    <w:rsid w:val="695276CE"/>
    <w:rsid w:val="695D621F"/>
    <w:rsid w:val="69611825"/>
    <w:rsid w:val="696E6A02"/>
    <w:rsid w:val="69797C2C"/>
    <w:rsid w:val="697F7DDB"/>
    <w:rsid w:val="6982179A"/>
    <w:rsid w:val="69823C91"/>
    <w:rsid w:val="69826BA8"/>
    <w:rsid w:val="698A1E75"/>
    <w:rsid w:val="6998191E"/>
    <w:rsid w:val="699D3999"/>
    <w:rsid w:val="69B3536F"/>
    <w:rsid w:val="69BB5859"/>
    <w:rsid w:val="69BF1493"/>
    <w:rsid w:val="69C5778C"/>
    <w:rsid w:val="69C953F4"/>
    <w:rsid w:val="69D12A83"/>
    <w:rsid w:val="69D15066"/>
    <w:rsid w:val="69E55D04"/>
    <w:rsid w:val="69E71CBB"/>
    <w:rsid w:val="6A041549"/>
    <w:rsid w:val="6A062314"/>
    <w:rsid w:val="6A07169A"/>
    <w:rsid w:val="6A1904ED"/>
    <w:rsid w:val="6A252E83"/>
    <w:rsid w:val="6A2B0C8B"/>
    <w:rsid w:val="6A2B39A2"/>
    <w:rsid w:val="6A4E63D2"/>
    <w:rsid w:val="6A5759F3"/>
    <w:rsid w:val="6A72023C"/>
    <w:rsid w:val="6A835F76"/>
    <w:rsid w:val="6A892BBB"/>
    <w:rsid w:val="6A8A3E4A"/>
    <w:rsid w:val="6A9010CD"/>
    <w:rsid w:val="6A934155"/>
    <w:rsid w:val="6A960F65"/>
    <w:rsid w:val="6A977D6C"/>
    <w:rsid w:val="6A981DCD"/>
    <w:rsid w:val="6AB638F9"/>
    <w:rsid w:val="6AB71A6D"/>
    <w:rsid w:val="6AE65368"/>
    <w:rsid w:val="6AEF2922"/>
    <w:rsid w:val="6AF317F3"/>
    <w:rsid w:val="6AFF3D73"/>
    <w:rsid w:val="6B04257F"/>
    <w:rsid w:val="6B0B7BB9"/>
    <w:rsid w:val="6B0D5F9B"/>
    <w:rsid w:val="6B1444F7"/>
    <w:rsid w:val="6B1C3891"/>
    <w:rsid w:val="6B381836"/>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C1112"/>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747A8"/>
    <w:rsid w:val="6CFA1076"/>
    <w:rsid w:val="6CFA777D"/>
    <w:rsid w:val="6D056479"/>
    <w:rsid w:val="6D191CDD"/>
    <w:rsid w:val="6D22611B"/>
    <w:rsid w:val="6D240AF1"/>
    <w:rsid w:val="6D2933D3"/>
    <w:rsid w:val="6D2B774A"/>
    <w:rsid w:val="6D563901"/>
    <w:rsid w:val="6D564DD4"/>
    <w:rsid w:val="6D5E77D6"/>
    <w:rsid w:val="6D7454FD"/>
    <w:rsid w:val="6D751B26"/>
    <w:rsid w:val="6D7E1BB3"/>
    <w:rsid w:val="6D8E1157"/>
    <w:rsid w:val="6D967A6A"/>
    <w:rsid w:val="6D98799F"/>
    <w:rsid w:val="6D9919F3"/>
    <w:rsid w:val="6DA31ABE"/>
    <w:rsid w:val="6DB4326F"/>
    <w:rsid w:val="6DB61E3E"/>
    <w:rsid w:val="6DD12A4F"/>
    <w:rsid w:val="6DD46AD7"/>
    <w:rsid w:val="6DD63486"/>
    <w:rsid w:val="6DDE66DC"/>
    <w:rsid w:val="6DE62D4F"/>
    <w:rsid w:val="6E000876"/>
    <w:rsid w:val="6E001DCA"/>
    <w:rsid w:val="6E014891"/>
    <w:rsid w:val="6E097405"/>
    <w:rsid w:val="6E101629"/>
    <w:rsid w:val="6E145A7C"/>
    <w:rsid w:val="6E160D9C"/>
    <w:rsid w:val="6E2C098B"/>
    <w:rsid w:val="6E4662DC"/>
    <w:rsid w:val="6E511E37"/>
    <w:rsid w:val="6E5B554A"/>
    <w:rsid w:val="6E5C4D0B"/>
    <w:rsid w:val="6E5C7D35"/>
    <w:rsid w:val="6E674912"/>
    <w:rsid w:val="6E6A4764"/>
    <w:rsid w:val="6E7251A5"/>
    <w:rsid w:val="6E746D80"/>
    <w:rsid w:val="6E9821A1"/>
    <w:rsid w:val="6EA2047A"/>
    <w:rsid w:val="6EB02A3D"/>
    <w:rsid w:val="6EB61295"/>
    <w:rsid w:val="6EBD11E9"/>
    <w:rsid w:val="6ECE7848"/>
    <w:rsid w:val="6ECE78F2"/>
    <w:rsid w:val="6EDD0E4F"/>
    <w:rsid w:val="6EEB23CD"/>
    <w:rsid w:val="6EEB289D"/>
    <w:rsid w:val="6EEC2156"/>
    <w:rsid w:val="6EF76E3B"/>
    <w:rsid w:val="6F2E4584"/>
    <w:rsid w:val="6F434D5B"/>
    <w:rsid w:val="6F4A1ADF"/>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BB07F6"/>
    <w:rsid w:val="70C278F5"/>
    <w:rsid w:val="70C76086"/>
    <w:rsid w:val="70CF0133"/>
    <w:rsid w:val="70D55D00"/>
    <w:rsid w:val="70DC06A6"/>
    <w:rsid w:val="70DD4BB8"/>
    <w:rsid w:val="70FF1E43"/>
    <w:rsid w:val="7107490C"/>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15A44"/>
    <w:rsid w:val="71992AB4"/>
    <w:rsid w:val="719965F1"/>
    <w:rsid w:val="71B81D10"/>
    <w:rsid w:val="71B95C18"/>
    <w:rsid w:val="71BB16C3"/>
    <w:rsid w:val="71BB467B"/>
    <w:rsid w:val="71BD3980"/>
    <w:rsid w:val="71BE5BCC"/>
    <w:rsid w:val="71BF1635"/>
    <w:rsid w:val="71C20D86"/>
    <w:rsid w:val="71C417B3"/>
    <w:rsid w:val="71D012DA"/>
    <w:rsid w:val="71E63697"/>
    <w:rsid w:val="71F723E8"/>
    <w:rsid w:val="7202528F"/>
    <w:rsid w:val="720D41EE"/>
    <w:rsid w:val="72196F07"/>
    <w:rsid w:val="721C71DD"/>
    <w:rsid w:val="72317074"/>
    <w:rsid w:val="723472E2"/>
    <w:rsid w:val="72357F64"/>
    <w:rsid w:val="72386A0D"/>
    <w:rsid w:val="726C5886"/>
    <w:rsid w:val="727205E6"/>
    <w:rsid w:val="727262A0"/>
    <w:rsid w:val="727B396C"/>
    <w:rsid w:val="72806500"/>
    <w:rsid w:val="728511DC"/>
    <w:rsid w:val="72904C14"/>
    <w:rsid w:val="7292265C"/>
    <w:rsid w:val="72A73849"/>
    <w:rsid w:val="72A84BC9"/>
    <w:rsid w:val="72CC0C1E"/>
    <w:rsid w:val="72DC084E"/>
    <w:rsid w:val="72F7152C"/>
    <w:rsid w:val="72FA1ED6"/>
    <w:rsid w:val="72FE21A1"/>
    <w:rsid w:val="73096143"/>
    <w:rsid w:val="73124BBA"/>
    <w:rsid w:val="731577BB"/>
    <w:rsid w:val="731807F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965EF1"/>
    <w:rsid w:val="73A31C75"/>
    <w:rsid w:val="73AE3CBE"/>
    <w:rsid w:val="73AF49BD"/>
    <w:rsid w:val="73C31EC7"/>
    <w:rsid w:val="73CD7CF6"/>
    <w:rsid w:val="73D66539"/>
    <w:rsid w:val="73E154A0"/>
    <w:rsid w:val="73F641AB"/>
    <w:rsid w:val="73F92E98"/>
    <w:rsid w:val="73F97E1B"/>
    <w:rsid w:val="740E2030"/>
    <w:rsid w:val="74144EA0"/>
    <w:rsid w:val="741474A6"/>
    <w:rsid w:val="741D661B"/>
    <w:rsid w:val="741E6193"/>
    <w:rsid w:val="74291CE9"/>
    <w:rsid w:val="742A3BDB"/>
    <w:rsid w:val="74347BB6"/>
    <w:rsid w:val="743A3D1F"/>
    <w:rsid w:val="744426E2"/>
    <w:rsid w:val="745466A7"/>
    <w:rsid w:val="745E4926"/>
    <w:rsid w:val="74601BD6"/>
    <w:rsid w:val="74750914"/>
    <w:rsid w:val="74785503"/>
    <w:rsid w:val="747B294D"/>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0652F"/>
    <w:rsid w:val="75010FAB"/>
    <w:rsid w:val="751968C4"/>
    <w:rsid w:val="752341C1"/>
    <w:rsid w:val="75452352"/>
    <w:rsid w:val="755172C5"/>
    <w:rsid w:val="755529D0"/>
    <w:rsid w:val="7567351D"/>
    <w:rsid w:val="75692C6E"/>
    <w:rsid w:val="757C1012"/>
    <w:rsid w:val="75830A6A"/>
    <w:rsid w:val="759B6AFB"/>
    <w:rsid w:val="759E4EA7"/>
    <w:rsid w:val="759E5F27"/>
    <w:rsid w:val="75C068A9"/>
    <w:rsid w:val="75CC0E61"/>
    <w:rsid w:val="75DB4086"/>
    <w:rsid w:val="75DF68BB"/>
    <w:rsid w:val="75E417B2"/>
    <w:rsid w:val="76132FE4"/>
    <w:rsid w:val="762239BB"/>
    <w:rsid w:val="762A014F"/>
    <w:rsid w:val="763656E0"/>
    <w:rsid w:val="763C3EA3"/>
    <w:rsid w:val="76400507"/>
    <w:rsid w:val="764440D9"/>
    <w:rsid w:val="765C674B"/>
    <w:rsid w:val="7663578F"/>
    <w:rsid w:val="7675378A"/>
    <w:rsid w:val="768E55DA"/>
    <w:rsid w:val="769F6C8C"/>
    <w:rsid w:val="76A0160E"/>
    <w:rsid w:val="76A54445"/>
    <w:rsid w:val="76BD097A"/>
    <w:rsid w:val="76C5396B"/>
    <w:rsid w:val="76CE25D0"/>
    <w:rsid w:val="76D64223"/>
    <w:rsid w:val="76E30140"/>
    <w:rsid w:val="76E61D96"/>
    <w:rsid w:val="76EB730E"/>
    <w:rsid w:val="76F348B0"/>
    <w:rsid w:val="76F63E3A"/>
    <w:rsid w:val="76F754DC"/>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7F975F5"/>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A5263"/>
    <w:rsid w:val="78EB582C"/>
    <w:rsid w:val="78EC3C73"/>
    <w:rsid w:val="78EC4EB8"/>
    <w:rsid w:val="78F04942"/>
    <w:rsid w:val="78F51C92"/>
    <w:rsid w:val="78F97154"/>
    <w:rsid w:val="78FC5DA2"/>
    <w:rsid w:val="78FF2511"/>
    <w:rsid w:val="78FF404E"/>
    <w:rsid w:val="78FF5438"/>
    <w:rsid w:val="78FF75C8"/>
    <w:rsid w:val="790A5D98"/>
    <w:rsid w:val="790C504D"/>
    <w:rsid w:val="790D76E0"/>
    <w:rsid w:val="79137033"/>
    <w:rsid w:val="7914182E"/>
    <w:rsid w:val="7915512C"/>
    <w:rsid w:val="791F55FF"/>
    <w:rsid w:val="794E1E8C"/>
    <w:rsid w:val="794E6DA1"/>
    <w:rsid w:val="795718DC"/>
    <w:rsid w:val="79573491"/>
    <w:rsid w:val="79625528"/>
    <w:rsid w:val="7963001B"/>
    <w:rsid w:val="796411F3"/>
    <w:rsid w:val="796528F1"/>
    <w:rsid w:val="79782668"/>
    <w:rsid w:val="797D7C7B"/>
    <w:rsid w:val="798473C1"/>
    <w:rsid w:val="798D0CB1"/>
    <w:rsid w:val="79A917D5"/>
    <w:rsid w:val="79F866D7"/>
    <w:rsid w:val="79FB2AA6"/>
    <w:rsid w:val="7A0D5030"/>
    <w:rsid w:val="7A186315"/>
    <w:rsid w:val="7A1F0B92"/>
    <w:rsid w:val="7A2F0FE2"/>
    <w:rsid w:val="7A2F6A25"/>
    <w:rsid w:val="7A335E52"/>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87747"/>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5186F"/>
    <w:rsid w:val="7B990D55"/>
    <w:rsid w:val="7B9D1C0D"/>
    <w:rsid w:val="7BA521B3"/>
    <w:rsid w:val="7BAF270A"/>
    <w:rsid w:val="7BB4250E"/>
    <w:rsid w:val="7BBE34FB"/>
    <w:rsid w:val="7BC27BB4"/>
    <w:rsid w:val="7BCE26A5"/>
    <w:rsid w:val="7BE30E7C"/>
    <w:rsid w:val="7BE7137F"/>
    <w:rsid w:val="7BF06EC0"/>
    <w:rsid w:val="7BF333D1"/>
    <w:rsid w:val="7C036F42"/>
    <w:rsid w:val="7C18182D"/>
    <w:rsid w:val="7C1C50AC"/>
    <w:rsid w:val="7C1E48E8"/>
    <w:rsid w:val="7C270240"/>
    <w:rsid w:val="7C302A72"/>
    <w:rsid w:val="7C3D63E5"/>
    <w:rsid w:val="7C5D3A44"/>
    <w:rsid w:val="7C6762E3"/>
    <w:rsid w:val="7C6F2369"/>
    <w:rsid w:val="7C8A0A6B"/>
    <w:rsid w:val="7C8C4745"/>
    <w:rsid w:val="7C930BAE"/>
    <w:rsid w:val="7C9A49C1"/>
    <w:rsid w:val="7CA86392"/>
    <w:rsid w:val="7CBF7665"/>
    <w:rsid w:val="7CBF7924"/>
    <w:rsid w:val="7CCB2B42"/>
    <w:rsid w:val="7CDF2E23"/>
    <w:rsid w:val="7CF44E92"/>
    <w:rsid w:val="7CF8396C"/>
    <w:rsid w:val="7CFC37A3"/>
    <w:rsid w:val="7D0522E0"/>
    <w:rsid w:val="7D105250"/>
    <w:rsid w:val="7D176CD4"/>
    <w:rsid w:val="7D18193F"/>
    <w:rsid w:val="7D21243F"/>
    <w:rsid w:val="7D316BAB"/>
    <w:rsid w:val="7D377A61"/>
    <w:rsid w:val="7D3C36D7"/>
    <w:rsid w:val="7D3D5A4B"/>
    <w:rsid w:val="7D4E6D0D"/>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DED5790"/>
    <w:rsid w:val="7E0D1655"/>
    <w:rsid w:val="7E0E4C52"/>
    <w:rsid w:val="7E180D00"/>
    <w:rsid w:val="7E1A5F33"/>
    <w:rsid w:val="7E1B1677"/>
    <w:rsid w:val="7E1B4DBE"/>
    <w:rsid w:val="7E3B0F1A"/>
    <w:rsid w:val="7E4B4FC9"/>
    <w:rsid w:val="7E4C0278"/>
    <w:rsid w:val="7E554F28"/>
    <w:rsid w:val="7E582A5A"/>
    <w:rsid w:val="7E663023"/>
    <w:rsid w:val="7E705793"/>
    <w:rsid w:val="7E8209B3"/>
    <w:rsid w:val="7E851695"/>
    <w:rsid w:val="7E865444"/>
    <w:rsid w:val="7E922C5D"/>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7D6EBB"/>
    <w:rsid w:val="7F8D6516"/>
    <w:rsid w:val="7F9075B7"/>
    <w:rsid w:val="7F9614FF"/>
    <w:rsid w:val="7F9C2851"/>
    <w:rsid w:val="7F9C3B32"/>
    <w:rsid w:val="7FC00AC8"/>
    <w:rsid w:val="7FCB421A"/>
    <w:rsid w:val="7FCB6805"/>
    <w:rsid w:val="7FCF058D"/>
    <w:rsid w:val="7FD25D7C"/>
    <w:rsid w:val="7FDE5C9E"/>
    <w:rsid w:val="7FE655FC"/>
    <w:rsid w:val="7FE677B0"/>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uiPriority w:val="1"/>
  </w:style>
  <w:style w:type="table" w:default="1" w:styleId="64">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styleId="283">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9E04A-AC76-47F0-9BF3-7388A4B2E64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1272</Words>
  <Characters>7254</Characters>
  <Lines>60</Lines>
  <Paragraphs>17</Paragraphs>
  <TotalTime>3</TotalTime>
  <ScaleCrop>false</ScaleCrop>
  <LinksUpToDate>false</LinksUpToDate>
  <CharactersWithSpaces>8509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2020-02-14T00:23:00Z</dcterms:created>
  <dc:creator>10033860</dc:creator>
  <cp:lastModifiedBy>ZTE-ZMJ</cp:lastModifiedBy>
  <cp:lastPrinted>2113-01-01T00:00:00Z</cp:lastPrinted>
  <dcterms:modified xsi:type="dcterms:W3CDTF">2020-02-14T01:52:05Z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